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VRD et terrassement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(batiredac.com/modele-memoire-technique/vrd-terrassement).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1341/1342 — Travaux de terrassement — technicité courante et confirmée</w:t>
      </w:r>
    </w:p>
    <w:p>
      <w:pPr>
        <w:pStyle w:val="ListParagraph"/>
        <w:numPr>
          <w:ilvl w:val="0"/>
          <w:numId w:val="1"/>
        </w:numPr>
        <w:spacing w:after="60"/>
      </w:pPr>
      <w:r>
        <w:t xml:space="preserve">Qualibat 1552 — Travaux de canalisations et réseaux enterrés (selon lot)</w:t>
      </w:r>
    </w:p>
    <w:p>
      <w:pPr>
        <w:pStyle w:val="ListParagraph"/>
        <w:numPr>
          <w:ilvl w:val="0"/>
          <w:numId w:val="1"/>
        </w:numPr>
        <w:spacing w:after="60"/>
      </w:pPr>
      <w:r>
        <w:t xml:space="preserve">AIPR — Autorisation d'intervention à proximité des réseaux (encadrant, opérateur, concepteur)</w:t>
      </w:r>
    </w:p>
    <w:p>
      <w:pPr>
        <w:pStyle w:val="ListParagraph"/>
        <w:numPr>
          <w:ilvl w:val="0"/>
          <w:numId w:val="1"/>
        </w:numPr>
        <w:spacing w:after="60"/>
      </w:pPr>
      <w:r>
        <w:t xml:space="preserve">Décennale — attestation d'assurance en cours de validité à joindre</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(BTS Travaux publics, 10 ans d'expérience) — Études d'exécution, coordination réseaux, planning</w:t>
      </w:r>
    </w:p>
    <w:p>
      <w:pPr>
        <w:pStyle w:val="ListParagraph"/>
        <w:numPr>
          <w:ilvl w:val="0"/>
          <w:numId w:val="1"/>
        </w:numPr>
        <w:spacing w:after="60"/>
      </w:pPr>
      <w:r>
        <w:t xml:space="preserve">Chef de chantier (AIPR encadrant, habilitation électrique H0) — Encadrement, sécurité, contrôle des DT-DICT</w:t>
      </w:r>
    </w:p>
    <w:p>
      <w:pPr>
        <w:pStyle w:val="ListParagraph"/>
        <w:numPr>
          <w:ilvl w:val="0"/>
          <w:numId w:val="1"/>
        </w:numPr>
        <w:spacing w:after="60"/>
      </w:pPr>
      <w:r>
        <w:t xml:space="preserve">Conducteurs d'engins (CACES R482 (pelles, compacteurs), AIPR opérateur) — Terrassement, réglage de plateforme, compactage</w:t>
      </w:r>
    </w:p>
    <w:p>
      <w:pPr>
        <w:pStyle w:val="ListParagraph"/>
        <w:numPr>
          <w:ilvl w:val="0"/>
          <w:numId w:val="1"/>
        </w:numPr>
        <w:spacing w:after="60"/>
      </w:pPr>
      <w:r>
        <w:t xml:space="preserve">Canalisateurs (AIPR opérateur, habilitation espaces confinés) — Pose de réseaux humides et secs, raccordements</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Terrassement</w:t>
      </w:r>
    </w:p>
    <w:p>
      <w:pPr>
        <w:pStyle w:val="ListParagraph"/>
        <w:numPr>
          <w:ilvl w:val="0"/>
          <w:numId w:val="1"/>
        </w:numPr>
        <w:spacing w:after="60"/>
      </w:pPr>
      <w:r>
        <w:t xml:space="preserve">Pelles à chenilles 20 à 35 tonnes avec GPS embarqué</w:t>
      </w:r>
    </w:p>
    <w:p>
      <w:pPr>
        <w:pStyle w:val="ListParagraph"/>
        <w:numPr>
          <w:ilvl w:val="0"/>
          <w:numId w:val="1"/>
        </w:numPr>
        <w:spacing w:after="60"/>
      </w:pPr>
      <w:r>
        <w:t xml:space="preserve">Chargeuses et tombereaux articulés</w:t>
      </w:r>
    </w:p>
    <w:p>
      <w:pPr>
        <w:spacing w:after="60" w:before="120"/>
      </w:pPr>
      <w:r>
        <w:rPr>
          <w:b/>
          <w:bCs/>
        </w:rPr>
        <w:t xml:space="preserve">Compactage et contrôle</w:t>
      </w:r>
    </w:p>
    <w:p>
      <w:pPr>
        <w:pStyle w:val="ListParagraph"/>
        <w:numPr>
          <w:ilvl w:val="0"/>
          <w:numId w:val="1"/>
        </w:numPr>
        <w:spacing w:after="60"/>
      </w:pPr>
      <w:r>
        <w:t xml:space="preserve">Compacteurs à cylindre vibrant et plaques vibrantes</w:t>
      </w:r>
    </w:p>
    <w:p>
      <w:pPr>
        <w:pStyle w:val="ListParagraph"/>
        <w:numPr>
          <w:ilvl w:val="0"/>
          <w:numId w:val="1"/>
        </w:numPr>
        <w:spacing w:after="60"/>
      </w:pPr>
      <w:r>
        <w:t xml:space="preserve">Pénétromètre dynamique, plaque de chargement statique</w:t>
      </w:r>
    </w:p>
    <w:p>
      <w:pPr>
        <w:pStyle w:val="ListParagraph"/>
        <w:numPr>
          <w:ilvl w:val="0"/>
          <w:numId w:val="1"/>
        </w:numPr>
        <w:spacing w:after="60"/>
      </w:pPr>
      <w:r>
        <w:t xml:space="preserve">Gammadensimètre pour contrôle de compacité</w:t>
      </w:r>
    </w:p>
    <w:p>
      <w:pPr>
        <w:spacing w:after="60" w:before="120"/>
      </w:pPr>
      <w:r>
        <w:rPr>
          <w:b/>
          <w:bCs/>
        </w:rPr>
        <w:t xml:space="preserve">Réseaux</w:t>
      </w:r>
    </w:p>
    <w:p>
      <w:pPr>
        <w:pStyle w:val="ListParagraph"/>
        <w:numPr>
          <w:ilvl w:val="0"/>
          <w:numId w:val="1"/>
        </w:numPr>
        <w:spacing w:after="60"/>
      </w:pPr>
      <w:r>
        <w:t xml:space="preserve">Détecteur de réseaux électromagnétique et géoradar</w:t>
      </w:r>
    </w:p>
    <w:p>
      <w:pPr>
        <w:pStyle w:val="ListParagraph"/>
        <w:numPr>
          <w:ilvl w:val="0"/>
          <w:numId w:val="1"/>
        </w:numPr>
        <w:spacing w:after="60"/>
      </w:pPr>
      <w:r>
        <w:t xml:space="preserve">Blindages de tranchée, laser de nivellement</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Études préalables et sécurisation des réseaux</w:t>
      </w:r>
    </w:p>
    <w:p>
      <w:pPr>
        <w:spacing w:after="160"/>
      </w:pPr>
      <w:r>
        <w:rPr>
          <w:i/>
          <w:iCs/>
          <w:color w:val="555555"/>
          <w:sz w:val="20"/>
          <w:szCs w:val="20"/>
        </w:rPr>
        <w:t xml:space="preserve">Consultation du guichet unique et envoi des DT-DICT dans les délais réglementaires, marquage-piquetage des réseaux existants, sondages de reconnaissance et investigations complémentaires en cas d'incertitude de classe B ou C, plan de prévention avec les concessionnaires concernés.</w:t>
      </w:r>
    </w:p>
    <w:p>
      <w:pPr>
        <w:spacing w:after="320"/>
      </w:pPr>
      <w:r>
        <w:rPr>
          <w:color w:val="888888"/>
          <w:sz w:val="22"/>
          <w:szCs w:val="22"/>
        </w:rPr>
        <w:t xml:space="preserve">[Adaptez au chantier : quantités, cadences, points singuliers]</w:t>
      </w:r>
    </w:p>
    <w:p>
      <w:pPr>
        <w:pStyle w:val="Heading2"/>
        <w:spacing w:after="80" w:before="200"/>
      </w:pPr>
      <w:r>
        <w:t xml:space="preserve">Terrassements et gestion des terres</w:t>
      </w:r>
    </w:p>
    <w:p>
      <w:pPr>
        <w:spacing w:after="160"/>
      </w:pPr>
      <w:r>
        <w:rPr>
          <w:i/>
          <w:iCs/>
          <w:color w:val="555555"/>
          <w:sz w:val="20"/>
          <w:szCs w:val="20"/>
        </w:rPr>
        <w:t xml:space="preserve">Décapage de terre végétale, terrassement en pleine masse ou en tranchée selon le profil en long, tri des matériaux réemployables sur site conformément au guide GTR, plan de gestion des terres excavées avec traçabilité des bordereaux de suivi vers des filières agréées (réemploi, valorisation ou installation de stockage).</w:t>
      </w:r>
    </w:p>
    <w:p>
      <w:pPr>
        <w:spacing w:after="320"/>
      </w:pPr>
      <w:r>
        <w:rPr>
          <w:color w:val="888888"/>
          <w:sz w:val="22"/>
          <w:szCs w:val="22"/>
        </w:rPr>
        <w:t xml:space="preserve">[Adaptez au chantier : quantités, cadences, points singuliers]</w:t>
      </w:r>
    </w:p>
    <w:p>
      <w:pPr>
        <w:pStyle w:val="Heading2"/>
        <w:spacing w:after="80" w:before="200"/>
      </w:pPr>
      <w:r>
        <w:t xml:space="preserve">Pose des réseaux et remblaiement</w:t>
      </w:r>
    </w:p>
    <w:p>
      <w:pPr>
        <w:spacing w:after="160"/>
      </w:pPr>
      <w:r>
        <w:rPr>
          <w:i/>
          <w:iCs/>
          <w:color w:val="555555"/>
          <w:sz w:val="20"/>
          <w:szCs w:val="20"/>
        </w:rPr>
        <w:t xml:space="preserve">Pose du lit de pose en matériau granulaire, canalisations posées au fil d'eau avec contrôle de pente au laser, remblaiement par couches de 20 à 30 cm compactées individuellement, essais d'étanchéité et de compacité des réseaux d'assainissement conformément au fascicule 70.</w:t>
      </w:r>
    </w:p>
    <w:p>
      <w:pPr>
        <w:spacing w:after="320"/>
      </w:pPr>
      <w:r>
        <w:rPr>
          <w:color w:val="888888"/>
          <w:sz w:val="22"/>
          <w:szCs w:val="22"/>
        </w:rPr>
        <w:t xml:space="preserve">[Adaptez au chantier : quantités, cadences, points singuliers]</w:t>
      </w:r>
    </w:p>
    <w:p>
      <w:pPr>
        <w:pStyle w:val="Heading2"/>
        <w:spacing w:after="80" w:before="200"/>
      </w:pPr>
      <w:r>
        <w:t xml:space="preserve">Réglage de plateforme et contrôles finaux</w:t>
      </w:r>
    </w:p>
    <w:p>
      <w:pPr>
        <w:spacing w:after="160"/>
      </w:pPr>
      <w:r>
        <w:rPr>
          <w:i/>
          <w:iCs/>
          <w:color w:val="555555"/>
          <w:sz w:val="20"/>
          <w:szCs w:val="20"/>
        </w:rPr>
        <w:t xml:space="preserve">Réglage de la couche de forme au profil théorique, compactage contrôlé par essais à la plaque ou au gammadensimètre visant un objectif de 95 % de l'optimum Proctor modifié, réception contradictoire avec la maîtrise d'œuvre et remise du dossier de récolement géoréférencé.</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P 98-331 — Tranchées : ouverture, remblayage, réfection (DTU 12)</w:t>
      </w:r>
    </w:p>
    <w:p>
      <w:pPr>
        <w:pStyle w:val="ListParagraph"/>
        <w:numPr>
          <w:ilvl w:val="0"/>
          <w:numId w:val="1"/>
        </w:numPr>
        <w:spacing w:after="60"/>
      </w:pPr>
      <w:r>
        <w:t xml:space="preserve">Fascicule 70 — Ouvrages d'assainissement (CCTG travaux)</w:t>
      </w:r>
    </w:p>
    <w:p>
      <w:pPr>
        <w:pStyle w:val="ListParagraph"/>
        <w:numPr>
          <w:ilvl w:val="0"/>
          <w:numId w:val="1"/>
        </w:numPr>
        <w:spacing w:after="60"/>
      </w:pPr>
      <w:r>
        <w:t xml:space="preserve">Fascicule 71 — Fourniture et pose de canalisations d'eau</w:t>
      </w:r>
    </w:p>
    <w:p>
      <w:pPr>
        <w:pStyle w:val="ListParagraph"/>
        <w:numPr>
          <w:ilvl w:val="0"/>
          <w:numId w:val="1"/>
        </w:numPr>
        <w:spacing w:after="60"/>
      </w:pPr>
      <w:r>
        <w:t xml:space="preserve">Guide GTR (SETRA/LCPC) — Réalisation des remblais et des couches de forme</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Rappelez le respect du délai réglementaire entre DICT et démarrage des travaux, et la présence d'un référent AIPR encadrant sur chaque chantier à proximité de réseaux sensibles.</w:t>
      </w:r>
    </w:p>
    <w:p>
      <w:pPr>
        <w:pStyle w:val="ListParagraph"/>
        <w:numPr>
          <w:ilvl w:val="0"/>
          <w:numId w:val="1"/>
        </w:numPr>
        <w:spacing w:after="60"/>
      </w:pPr>
      <w:r>
        <w:t xml:space="preserve">Détaillez le plan de gestion des terres excavées avec traçabilité (bordereaux de suivi, filières agréées) : c'est un point de plus en plus noté dans les critères environnementaux.</w:t>
      </w:r>
    </w:p>
    <w:p>
      <w:pPr>
        <w:pStyle w:val="ListParagraph"/>
        <w:numPr>
          <w:ilvl w:val="0"/>
          <w:numId w:val="1"/>
        </w:numPr>
        <w:spacing w:after="60"/>
      </w:pPr>
      <w:r>
        <w:t xml:space="preserve">Précisez vos objectifs de compacité par couche (95 % OPM en général) et les moyens de contrôle associés (plaque, gammadensimètre).</w:t>
      </w:r>
    </w:p>
    <w:p>
      <w:pPr>
        <w:pStyle w:val="ListParagraph"/>
        <w:numPr>
          <w:ilvl w:val="0"/>
          <w:numId w:val="1"/>
        </w:numPr>
        <w:spacing w:after="60"/>
      </w:pPr>
      <w:r>
        <w:t xml:space="preserve">En cas de nappe phréatique ou de venues d'eau, décrivez le dispositif de rabattement ou de pompage prévu.</w:t>
      </w:r>
    </w:p>
    <w:p>
      <w:pPr>
        <w:pStyle w:val="ListParagraph"/>
        <w:numPr>
          <w:ilvl w:val="0"/>
          <w:numId w:val="1"/>
        </w:numPr>
        <w:spacing w:after="60"/>
      </w:pPr>
      <w:r>
        <w:t xml:space="preserve">Anticipez le phasage de circulation et les déviations en milieu urbain : un point souvent noté au titre de la gestion des nuisances.</w:t>
      </w:r>
    </w:p>
    <w:p>
      <w:pPr>
        <w:pStyle w:val="Heading1"/>
        <w:spacing w:after="120" w:before="320"/>
      </w:pPr>
      <w:r>
        <w:t xml:space="preserve">Annexe — exemples de formulations</w:t>
      </w:r>
    </w:p>
    <w:p>
      <w:pPr>
        <w:spacing w:after="60" w:before="160"/>
      </w:pPr>
      <w:r>
        <w:rPr>
          <w:b/>
          <w:bCs/>
        </w:rPr>
        <w:t xml:space="preserve">Sécurisation des réseaux</w:t>
      </w:r>
    </w:p>
    <w:p>
      <w:pPr>
        <w:spacing w:after="160"/>
      </w:pPr>
      <w:r>
        <w:rPr>
          <w:i/>
          <w:iCs/>
          <w:color w:val="555555"/>
          <w:sz w:val="20"/>
          <w:szCs w:val="20"/>
        </w:rPr>
        <w:t xml:space="preserve">Les demandes de travaux (DT) et déclarations d'intention de commencement de travaux (DICT) seront transmises via le guichet unique dans les délais réglementaires. Un marquage-piquetage contradictoire des réseaux sensibles sera réalisé avant tout terrassement, sous la responsabilité d'un encadrant titulaire de l'AIPR.</w:t>
      </w:r>
    </w:p>
    <w:p>
      <w:pPr>
        <w:spacing w:after="60" w:before="160"/>
      </w:pPr>
      <w:r>
        <w:rPr>
          <w:b/>
          <w:bCs/>
        </w:rPr>
        <w:t xml:space="preserve">Compactage</w:t>
      </w:r>
    </w:p>
    <w:p>
      <w:pPr>
        <w:spacing w:after="160"/>
      </w:pPr>
      <w:r>
        <w:rPr>
          <w:i/>
          <w:iCs/>
          <w:color w:val="555555"/>
          <w:sz w:val="20"/>
          <w:szCs w:val="20"/>
        </w:rPr>
        <w:t xml:space="preserve">Les remblais seront mis en œuvre par couches de 25 cm maximum, compactées au moyen d'un compacteur vibrant adapté à la classe du matériau (guide GTR), avec un objectif de 95 % de l'optimum Proctor modifié contrôlé par essais à la plaque tous les 200 m² de plateforme.</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VRD et terrassement</dc:title>
  <dc:creator>BatiRedac</dc:creator>
  <dc:description>Trame de mémoire technique VRD et terrassement : DTU 12, GTR, compactage, DT-DICT, AIPR, gestion des terres excavées, réseaux humides. PDF gratuit.</dc:description>
  <cp:lastModifiedBy>Un-named</cp:lastModifiedBy>
  <cp:revision>1</cp:revision>
  <dcterms:created xsi:type="dcterms:W3CDTF">2026-09-01T15:00:05.176Z</dcterms:created>
  <dcterms:modified xsi:type="dcterms:W3CDTF">2026-09-01T15:00:05.176Z</dcterms:modified>
</cp:coreProperties>
</file>

<file path=docProps/custom.xml><?xml version="1.0" encoding="utf-8"?>
<Properties xmlns="http://schemas.openxmlformats.org/officeDocument/2006/custom-properties" xmlns:vt="http://schemas.openxmlformats.org/officeDocument/2006/docPropsVTypes"/>
</file>