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Plomberie / CVC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(batiredac.com/modele-memoire-technique/plomberie-chauffage).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5111/5112 — Plomberie sanitaire — technicité courante/confirmée</w:t>
      </w:r>
    </w:p>
    <w:p>
      <w:pPr>
        <w:pStyle w:val="ListParagraph"/>
        <w:numPr>
          <w:ilvl w:val="0"/>
          <w:numId w:val="1"/>
        </w:numPr>
        <w:spacing w:after="60"/>
      </w:pPr>
      <w:r>
        <w:t xml:space="preserve">RGE QualiPAC — pompes à chaleur (si équipements concernés)</w:t>
      </w:r>
    </w:p>
    <w:p>
      <w:pPr>
        <w:pStyle w:val="ListParagraph"/>
        <w:numPr>
          <w:ilvl w:val="0"/>
          <w:numId w:val="1"/>
        </w:numPr>
        <w:spacing w:after="60"/>
      </w:pPr>
      <w:r>
        <w:t xml:space="preserve">Professionnel Gaz — attestation PG pour les travaux gaz</w:t>
      </w:r>
    </w:p>
    <w:p>
      <w:pPr>
        <w:pStyle w:val="ListParagraph"/>
        <w:numPr>
          <w:ilvl w:val="0"/>
          <w:numId w:val="1"/>
        </w:numPr>
        <w:spacing w:after="60"/>
      </w:pPr>
      <w:r>
        <w:t xml:space="preserve">Décennale — attestation d'assurance en cours de validité</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(BTS FED / 10 ans d'expérience) — Études, synthèse, interface MOE et bureau de contrôle</w:t>
      </w:r>
    </w:p>
    <w:p>
      <w:pPr>
        <w:pStyle w:val="ListParagraph"/>
        <w:numPr>
          <w:ilvl w:val="0"/>
          <w:numId w:val="1"/>
        </w:numPr>
        <w:spacing w:after="60"/>
      </w:pPr>
      <w:r>
        <w:t xml:space="preserve">Chef d'équipe plombier (N4, SST, attestation PG) — Encadrement, essais, mise en service</w:t>
      </w:r>
    </w:p>
    <w:p>
      <w:pPr>
        <w:pStyle w:val="ListParagraph"/>
        <w:numPr>
          <w:ilvl w:val="0"/>
          <w:numId w:val="1"/>
        </w:numPr>
        <w:spacing w:after="60"/>
      </w:pPr>
      <w:r>
        <w:t xml:space="preserve">Plombiers-chauffagistes (N3, brasage agréé) — Réseaux, appareils, calorifugeage</w:t>
      </w:r>
    </w:p>
    <w:p>
      <w:pPr>
        <w:pStyle w:val="ListParagraph"/>
        <w:numPr>
          <w:ilvl w:val="0"/>
          <w:numId w:val="1"/>
        </w:numPr>
        <w:spacing w:after="60"/>
      </w:pPr>
      <w:r>
        <w:t xml:space="preserve">Aide-monteur (N2) — Approvisionnements, percements, supports</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Façonnage et assemblage</w:t>
      </w:r>
    </w:p>
    <w:p>
      <w:pPr>
        <w:pStyle w:val="ListParagraph"/>
        <w:numPr>
          <w:ilvl w:val="0"/>
          <w:numId w:val="1"/>
        </w:numPr>
        <w:spacing w:after="60"/>
      </w:pPr>
      <w:r>
        <w:t xml:space="preserve">Sertisseuses électro-portatives multicouche et cuivre</w:t>
      </w:r>
    </w:p>
    <w:p>
      <w:pPr>
        <w:pStyle w:val="ListParagraph"/>
        <w:numPr>
          <w:ilvl w:val="0"/>
          <w:numId w:val="1"/>
        </w:numPr>
        <w:spacing w:after="60"/>
      </w:pPr>
      <w:r>
        <w:t xml:space="preserve">Postes de brasage et soudure, cintreuses</w:t>
      </w:r>
    </w:p>
    <w:p>
      <w:pPr>
        <w:pStyle w:val="ListParagraph"/>
        <w:numPr>
          <w:ilvl w:val="0"/>
          <w:numId w:val="1"/>
        </w:numPr>
        <w:spacing w:after="60"/>
      </w:pPr>
      <w:r>
        <w:t xml:space="preserve">Filières électriques pour acier galvanisé</w:t>
      </w:r>
    </w:p>
    <w:p>
      <w:pPr>
        <w:spacing w:after="60" w:before="120"/>
      </w:pPr>
      <w:r>
        <w:rPr>
          <w:b/>
          <w:bCs/>
        </w:rPr>
        <w:t xml:space="preserve">Essais et mise en service</w:t>
      </w:r>
    </w:p>
    <w:p>
      <w:pPr>
        <w:pStyle w:val="ListParagraph"/>
        <w:numPr>
          <w:ilvl w:val="0"/>
          <w:numId w:val="1"/>
        </w:numPr>
        <w:spacing w:after="60"/>
      </w:pPr>
      <w:r>
        <w:t xml:space="preserve">Pompes d'épreuve hydraulique avec manomètres étalonnés</w:t>
      </w:r>
    </w:p>
    <w:p>
      <w:pPr>
        <w:pStyle w:val="ListParagraph"/>
        <w:numPr>
          <w:ilvl w:val="0"/>
          <w:numId w:val="1"/>
        </w:numPr>
        <w:spacing w:after="60"/>
      </w:pPr>
      <w:r>
        <w:t xml:space="preserve">Analyseur de combustion, débitmètres pour équilibrage</w:t>
      </w:r>
    </w:p>
    <w:p>
      <w:pPr>
        <w:pStyle w:val="ListParagraph"/>
        <w:numPr>
          <w:ilvl w:val="0"/>
          <w:numId w:val="1"/>
        </w:numPr>
        <w:spacing w:after="60"/>
      </w:pPr>
      <w:r>
        <w:t xml:space="preserve">Caméra d'inspection pour réseaux d'évacuation</w:t>
      </w:r>
    </w:p>
    <w:p>
      <w:pPr>
        <w:spacing w:after="60" w:before="120"/>
      </w:pPr>
      <w:r>
        <w:rPr>
          <w:b/>
          <w:bCs/>
        </w:rPr>
        <w:t xml:space="preserve">Levage et manutention</w:t>
      </w:r>
    </w:p>
    <w:p>
      <w:pPr>
        <w:pStyle w:val="ListParagraph"/>
        <w:numPr>
          <w:ilvl w:val="0"/>
          <w:numId w:val="1"/>
        </w:numPr>
        <w:spacing w:after="60"/>
      </w:pPr>
      <w:r>
        <w:t xml:space="preserve">Gerbeurs et diables monte-escaliers pour équipements lourds</w:t>
      </w:r>
    </w:p>
    <w:p>
      <w:pPr>
        <w:pStyle w:val="ListParagraph"/>
        <w:numPr>
          <w:ilvl w:val="0"/>
          <w:numId w:val="1"/>
        </w:numPr>
        <w:spacing w:after="60"/>
      </w:pPr>
      <w:r>
        <w:t xml:space="preserve">Échafaudages roulants pour réseaux en plafond</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Préparation et réservations</w:t>
      </w:r>
    </w:p>
    <w:p>
      <w:pPr>
        <w:spacing w:after="160"/>
      </w:pPr>
      <w:r>
        <w:rPr>
          <w:i/>
          <w:iCs/>
          <w:color w:val="555555"/>
          <w:sz w:val="20"/>
          <w:szCs w:val="20"/>
        </w:rPr>
        <w:t xml:space="preserve">Plans d'exécution et de réservations soumis au visa, synthèse avec les autres corps d'état, traçage des réseaux, percements avec carottage et rebouchage coupe-feu au droit des traversées (calfeutrement conforme au PV du procédé).</w:t>
      </w:r>
    </w:p>
    <w:p>
      <w:pPr>
        <w:spacing w:after="320"/>
      </w:pPr>
      <w:r>
        <w:rPr>
          <w:color w:val="888888"/>
          <w:sz w:val="22"/>
          <w:szCs w:val="22"/>
        </w:rPr>
        <w:t xml:space="preserve">[Adaptez au chantier : quantités, cadences, points singuliers]</w:t>
      </w:r>
    </w:p>
    <w:p>
      <w:pPr>
        <w:pStyle w:val="Heading2"/>
        <w:spacing w:after="80" w:before="200"/>
      </w:pPr>
      <w:r>
        <w:t xml:space="preserve">Pose des réseaux et des équipements</w:t>
      </w:r>
    </w:p>
    <w:p>
      <w:pPr>
        <w:spacing w:after="160"/>
      </w:pPr>
      <w:r>
        <w:rPr>
          <w:i/>
          <w:iCs/>
          <w:color w:val="555555"/>
          <w:sz w:val="20"/>
          <w:szCs w:val="20"/>
        </w:rPr>
        <w:t xml:space="preserve">Mise en œuvre des réseaux EF/ECS, chauffage et évacuations (cuivre, multicouche ou PER selon CCTP), supportage anti-vibratile, respect des pentes d'évacuation, pose des appareils sanitaires et des générateurs, calorifugeage des réseaux selon la classe exigée.</w:t>
      </w:r>
    </w:p>
    <w:p>
      <w:pPr>
        <w:spacing w:after="320"/>
      </w:pPr>
      <w:r>
        <w:rPr>
          <w:color w:val="888888"/>
          <w:sz w:val="22"/>
          <w:szCs w:val="22"/>
        </w:rPr>
        <w:t xml:space="preserve">[Adaptez au chantier : quantités, cadences, points singuliers]</w:t>
      </w:r>
    </w:p>
    <w:p>
      <w:pPr>
        <w:pStyle w:val="Heading2"/>
        <w:spacing w:after="80" w:before="200"/>
      </w:pPr>
      <w:r>
        <w:t xml:space="preserve">Essais et désinfection</w:t>
      </w:r>
    </w:p>
    <w:p>
      <w:pPr>
        <w:spacing w:after="160"/>
      </w:pPr>
      <w:r>
        <w:rPr>
          <w:i/>
          <w:iCs/>
          <w:color w:val="555555"/>
          <w:sz w:val="20"/>
          <w:szCs w:val="20"/>
        </w:rPr>
        <w:t xml:space="preserve">Épreuve hydraulique de tous les réseaux à 1,5 fois la pression de service (maintien sans chute mesurable) avant fermeture des gaines et faux plafonds, rinçage puis désinfection des réseaux d'eau sanitaire avec analyse bactériologique avant mise en service.</w:t>
      </w:r>
    </w:p>
    <w:p>
      <w:pPr>
        <w:spacing w:after="320"/>
      </w:pPr>
      <w:r>
        <w:rPr>
          <w:color w:val="888888"/>
          <w:sz w:val="22"/>
          <w:szCs w:val="22"/>
        </w:rPr>
        <w:t xml:space="preserve">[Adaptez au chantier : quantités, cadences, points singuliers]</w:t>
      </w:r>
    </w:p>
    <w:p>
      <w:pPr>
        <w:pStyle w:val="Heading2"/>
        <w:spacing w:after="80" w:before="200"/>
      </w:pPr>
      <w:r>
        <w:t xml:space="preserve">Mise en service et réception</w:t>
      </w:r>
    </w:p>
    <w:p>
      <w:pPr>
        <w:spacing w:after="160"/>
      </w:pPr>
      <w:r>
        <w:rPr>
          <w:i/>
          <w:iCs/>
          <w:color w:val="555555"/>
          <w:sz w:val="20"/>
          <w:szCs w:val="20"/>
        </w:rPr>
        <w:t xml:space="preserve">Remplissage et purge des installations, réglage et équilibrage des réseaux de chauffage (débits conformes aux notes de calcul), mise en service des générateurs par technicien qualifié, formation de l'exploitant et remise du DOE avec PV d'essais et notices.</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DTU 60.1 — Plomberie sanitaire pour bâtiments</w:t>
      </w:r>
    </w:p>
    <w:p>
      <w:pPr>
        <w:pStyle w:val="ListParagraph"/>
        <w:numPr>
          <w:ilvl w:val="0"/>
          <w:numId w:val="1"/>
        </w:numPr>
        <w:spacing w:after="60"/>
      </w:pPr>
      <w:r>
        <w:t xml:space="preserve">NF DTU 60.5 — Canalisations en cuivre</w:t>
      </w:r>
    </w:p>
    <w:p>
      <w:pPr>
        <w:pStyle w:val="ListParagraph"/>
        <w:numPr>
          <w:ilvl w:val="0"/>
          <w:numId w:val="1"/>
        </w:numPr>
        <w:spacing w:after="60"/>
      </w:pPr>
      <w:r>
        <w:t xml:space="preserve">NF DTU 65.10 — Canalisations d'eau chaude et froide sous pression</w:t>
      </w:r>
    </w:p>
    <w:p>
      <w:pPr>
        <w:pStyle w:val="ListParagraph"/>
        <w:numPr>
          <w:ilvl w:val="0"/>
          <w:numId w:val="1"/>
        </w:numPr>
        <w:spacing w:after="60"/>
      </w:pPr>
      <w:r>
        <w:t xml:space="preserve">Arrêté du 30/11/2005 — Température de l'eau chaude sanitaire</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Les essais en pression avant fermeture des gaines sont le point de contrôle n°1 : donnez la valeur d'épreuve et le mode de traçabilité (PV par tronçon).</w:t>
      </w:r>
    </w:p>
    <w:p>
      <w:pPr>
        <w:pStyle w:val="ListParagraph"/>
        <w:numPr>
          <w:ilvl w:val="0"/>
          <w:numId w:val="1"/>
        </w:numPr>
        <w:spacing w:after="60"/>
      </w:pPr>
      <w:r>
        <w:t xml:space="preserve">Traitez explicitement le risque légionelles : température de production et de distribution ECS, bras morts évités, désinfection avant livraison.</w:t>
      </w:r>
    </w:p>
    <w:p>
      <w:pPr>
        <w:pStyle w:val="ListParagraph"/>
        <w:numPr>
          <w:ilvl w:val="0"/>
          <w:numId w:val="1"/>
        </w:numPr>
        <w:spacing w:after="60"/>
      </w:pPr>
      <w:r>
        <w:t xml:space="preserve">Précisez le traitement acoustique : colliers isophoniques, fourreaux aux traversées, vitesses d'eau limitées — exigence croissante des CCTP logement.</w:t>
      </w:r>
    </w:p>
    <w:p>
      <w:pPr>
        <w:pStyle w:val="ListParagraph"/>
        <w:numPr>
          <w:ilvl w:val="0"/>
          <w:numId w:val="1"/>
        </w:numPr>
        <w:spacing w:after="60"/>
      </w:pPr>
      <w:r>
        <w:t xml:space="preserve">Détaillez le calfeutrement coupe-feu des traversées de parois : les bureaux de contrôle le vérifient systématiquement.</w:t>
      </w:r>
    </w:p>
    <w:p>
      <w:pPr>
        <w:pStyle w:val="ListParagraph"/>
        <w:numPr>
          <w:ilvl w:val="0"/>
          <w:numId w:val="1"/>
        </w:numPr>
        <w:spacing w:after="60"/>
      </w:pPr>
      <w:r>
        <w:t xml:space="preserve">Si le marché comporte du gaz, joignez l'attestation Professionnel Gaz et décrivez le certificat de conformité remis en fin de travaux.</w:t>
      </w:r>
    </w:p>
    <w:p>
      <w:pPr>
        <w:pStyle w:val="Heading1"/>
        <w:spacing w:after="120" w:before="320"/>
      </w:pPr>
      <w:r>
        <w:t xml:space="preserve">Annexe — exemples de formulations</w:t>
      </w:r>
    </w:p>
    <w:p>
      <w:pPr>
        <w:spacing w:after="60" w:before="160"/>
      </w:pPr>
      <w:r>
        <w:rPr>
          <w:b/>
          <w:bCs/>
        </w:rPr>
        <w:t xml:space="preserve">Essais</w:t>
      </w:r>
    </w:p>
    <w:p>
      <w:pPr>
        <w:spacing w:after="160"/>
      </w:pPr>
      <w:r>
        <w:rPr>
          <w:i/>
          <w:iCs/>
          <w:color w:val="555555"/>
          <w:sz w:val="20"/>
          <w:szCs w:val="20"/>
        </w:rPr>
        <w:t xml:space="preserve">L'ensemble des réseaux sera éprouvé hydrauliquement à 1,5 fois la pression de service pendant 2 heures minimum, avant fermeture des gaines techniques et faux plafonds. Chaque épreuve fera l'objet d'un procès-verbal contradictoire joint au dossier qualité.</w:t>
      </w:r>
    </w:p>
    <w:p>
      <w:pPr>
        <w:spacing w:after="60" w:before="160"/>
      </w:pPr>
      <w:r>
        <w:rPr>
          <w:b/>
          <w:bCs/>
        </w:rPr>
        <w:t xml:space="preserve">Hygiène ECS</w:t>
      </w:r>
    </w:p>
    <w:p>
      <w:pPr>
        <w:spacing w:after="160"/>
      </w:pPr>
      <w:r>
        <w:rPr>
          <w:i/>
          <w:iCs/>
          <w:color w:val="555555"/>
          <w:sz w:val="20"/>
          <w:szCs w:val="20"/>
        </w:rPr>
        <w:t xml:space="preserve">La production d'eau chaude sanitaire sera réglée à 55 °C minimum, avec distribution maintenue au-dessus de 50 °C en tout point du bouclage conformément à l'arrêté du 30 novembre 2005. Un rinçage et une désinfection des réseaux seront réalisés avant mise en service, avec analyse bactériologique.</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Plomberie / CVC</dc:title>
  <dc:creator>BatiRedac</dc:creator>
  <dc:description>Trame de mémoire technique pour les lots plomberie sanitaire et chauffage : qualifications, DTU 60.1, essais en pression, désinfection ECS, équilibrage et mise en service. PDF gratuit.</dc:description>
  <cp:lastModifiedBy>Un-named</cp:lastModifiedBy>
  <cp:revision>1</cp:revision>
  <dcterms:created xsi:type="dcterms:W3CDTF">2026-09-01T15:00:04.969Z</dcterms:created>
  <dcterms:modified xsi:type="dcterms:W3CDTF">2026-09-01T15:00:04.969Z</dcterms:modified>
</cp:coreProperties>
</file>

<file path=docProps/custom.xml><?xml version="1.0" encoding="utf-8"?>
<Properties xmlns="http://schemas.openxmlformats.org/officeDocument/2006/custom-properties" xmlns:vt="http://schemas.openxmlformats.org/officeDocument/2006/docPropsVTypes"/>
</file>