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jc w:val="center"/>
      </w:pPr>
      <w:r>
        <w:t xml:space="preserve">MÉMOIRE TECHNIQUE</w:t>
      </w:r>
    </w:p>
    <w:p>
      <w:pPr>
        <w:spacing w:after="160"/>
        <w:jc w:val="center"/>
      </w:pPr>
      <w:r>
        <w:rPr>
          <w:color w:val="888888"/>
          <w:sz w:val="28"/>
          <w:szCs w:val="28"/>
        </w:rPr>
        <w:t xml:space="preserve">Lot Peinture — [Nom de l'opération / du marché]</w:t>
      </w:r>
    </w:p>
    <w:p>
      <w:pPr>
        <w:spacing w:after="480"/>
        <w:jc w:val="center"/>
      </w:pPr>
      <w:r>
        <w:rPr>
          <w:color w:val="888888"/>
          <w:sz w:val="22"/>
          <w:szCs w:val="22"/>
        </w:rPr>
        <w:t xml:space="preserve">[Nom de votre entreprise] — [SIRET] — [Lot concerné]</w:t>
      </w:r>
    </w:p>
    <w:p>
      <w:pPr>
        <w:spacing w:after="160"/>
      </w:pPr>
      <w:r>
        <w:rPr>
          <w:i/>
          <w:iCs/>
          <w:color w:val="555555"/>
          <w:sz w:val="20"/>
          <w:szCs w:val="20"/>
        </w:rPr>
        <w:t xml:space="preserve">Modèle gratuit proposé par BatiRedac (batiredac.com/modele-memoire-technique/peinture). Remplacez chaque consigne par votre contenu et alignez les sections sur les critères du règlement de consultation. Supprimez cette ligne avant dépôt.</w:t>
      </w:r>
    </w:p>
    <w:p>
      <w:pPr>
        <w:pStyle w:val="Heading1"/>
        <w:spacing w:after="120" w:before="320"/>
      </w:pPr>
      <w:r>
        <w:t xml:space="preserve">1. Présentation de l'entreprise</w:t>
      </w:r>
    </w:p>
    <w:p>
      <w:pPr>
        <w:spacing w:after="160"/>
      </w:pPr>
      <w:r>
        <w:rPr>
          <w:i/>
          <w:iCs/>
          <w:color w:val="555555"/>
          <w:sz w:val="20"/>
          <w:szCs w:val="20"/>
        </w:rPr>
        <w:t xml:space="preserve">Identité, historique, effectifs, chiffre d'affaires, zone d'intervention.</w:t>
      </w:r>
    </w:p>
    <w:p>
      <w:pPr>
        <w:spacing w:after="320"/>
      </w:pPr>
      <w:r>
        <w:rPr>
          <w:color w:val="888888"/>
          <w:sz w:val="22"/>
          <w:szCs w:val="22"/>
        </w:rPr>
        <w:t xml:space="preserve">[À compléter avec les informations de votre entreprise]</w:t>
      </w:r>
    </w:p>
    <w:p>
      <w:pPr>
        <w:pStyle w:val="Heading1"/>
        <w:spacing w:after="120" w:before="320"/>
      </w:pPr>
      <w:r>
        <w:t xml:space="preserve">2. Qualifications et assurances</w:t>
      </w:r>
    </w:p>
    <w:p>
      <w:pPr>
        <w:spacing w:after="160"/>
      </w:pPr>
      <w:r>
        <w:rPr>
          <w:i/>
          <w:iCs/>
          <w:color w:val="555555"/>
          <w:sz w:val="20"/>
          <w:szCs w:val="20"/>
        </w:rPr>
        <w:t xml:space="preserve">Qualifications attendues sur ce type de lot (joindre les certificats en cours de validité) :</w:t>
      </w:r>
    </w:p>
    <w:p>
      <w:pPr>
        <w:pStyle w:val="ListParagraph"/>
        <w:numPr>
          <w:ilvl w:val="0"/>
          <w:numId w:val="1"/>
        </w:numPr>
        <w:spacing w:after="60"/>
      </w:pPr>
      <w:r>
        <w:t xml:space="preserve">Qualibat 6111 — Peinture et ravalement — technicité courante</w:t>
      </w:r>
    </w:p>
    <w:p>
      <w:pPr>
        <w:pStyle w:val="ListParagraph"/>
        <w:numPr>
          <w:ilvl w:val="0"/>
          <w:numId w:val="1"/>
        </w:numPr>
        <w:spacing w:after="60"/>
      </w:pPr>
      <w:r>
        <w:t xml:space="preserve">Qualibat 6112 — Peinture et ravalement — technicité confirmée</w:t>
      </w:r>
    </w:p>
    <w:p>
      <w:pPr>
        <w:pStyle w:val="ListParagraph"/>
        <w:numPr>
          <w:ilvl w:val="0"/>
          <w:numId w:val="1"/>
        </w:numPr>
        <w:spacing w:after="60"/>
      </w:pPr>
      <w:r>
        <w:t xml:space="preserve">RGE — si travaux associés d'isolation (ITE, peinture réflective)</w:t>
      </w:r>
    </w:p>
    <w:p>
      <w:pPr>
        <w:pStyle w:val="ListParagraph"/>
        <w:numPr>
          <w:ilvl w:val="0"/>
          <w:numId w:val="1"/>
        </w:numPr>
        <w:spacing w:after="60"/>
      </w:pPr>
      <w:r>
        <w:t xml:space="preserve">Décennale — attestation d'assurance en cours de validité à joindre</w:t>
      </w:r>
    </w:p>
    <w:p>
      <w:pPr>
        <w:spacing w:after="320"/>
      </w:pPr>
      <w:r>
        <w:rPr>
          <w:color w:val="888888"/>
          <w:sz w:val="22"/>
          <w:szCs w:val="22"/>
        </w:rPr>
        <w:t xml:space="preserve">[Références de vos certificats et attestations d'assurance]</w:t>
      </w:r>
    </w:p>
    <w:p>
      <w:pPr>
        <w:pStyle w:val="Heading1"/>
        <w:spacing w:after="120" w:before="320"/>
      </w:pPr>
      <w:r>
        <w:t xml:space="preserve">3. Compréhension du projet et des enjeux</w:t>
      </w:r>
    </w:p>
    <w:p>
      <w:pPr>
        <w:spacing w:after="160"/>
      </w:pPr>
      <w:r>
        <w:rPr>
          <w:i/>
          <w:iCs/>
          <w:color w:val="555555"/>
          <w:sz w:val="20"/>
          <w:szCs w:val="20"/>
        </w:rPr>
        <w:t xml:space="preserve">Reformulez le contexte du marché et identifiez 3 à 5 enjeux issus du CCTP.</w:t>
      </w:r>
    </w:p>
    <w:p>
      <w:pPr>
        <w:spacing w:after="320"/>
      </w:pPr>
      <w:r>
        <w:rPr>
          <w:color w:val="888888"/>
          <w:sz w:val="22"/>
          <w:szCs w:val="22"/>
        </w:rPr>
        <w:t xml:space="preserve">[À compléter avec les informations de votre entreprise]</w:t>
      </w:r>
    </w:p>
    <w:p>
      <w:pPr>
        <w:pStyle w:val="Heading1"/>
        <w:spacing w:after="120" w:before="320"/>
      </w:pPr>
      <w:r>
        <w:t xml:space="preserve">4. Moyens humains affectés</w:t>
      </w:r>
    </w:p>
    <w:p>
      <w:pPr>
        <w:spacing w:after="160"/>
      </w:pPr>
      <w:r>
        <w:rPr>
          <w:i/>
          <w:iCs/>
          <w:color w:val="555555"/>
          <w:sz w:val="20"/>
          <w:szCs w:val="20"/>
        </w:rPr>
        <w:t xml:space="preserve">Effectif dédié, qualifications et rôle de chacun. Trame type pour ce métier :</w:t>
      </w:r>
    </w:p>
    <w:p>
      <w:pPr>
        <w:pStyle w:val="ListParagraph"/>
        <w:numPr>
          <w:ilvl w:val="0"/>
          <w:numId w:val="1"/>
        </w:numPr>
        <w:spacing w:after="60"/>
      </w:pPr>
      <w:r>
        <w:t xml:space="preserve">Conducteur de travaux (BTS Finitions / 10 ans d'expérience) — Interface MOE, planning, approvisionnements</w:t>
      </w:r>
    </w:p>
    <w:p>
      <w:pPr>
        <w:pStyle w:val="ListParagraph"/>
        <w:numPr>
          <w:ilvl w:val="0"/>
          <w:numId w:val="1"/>
        </w:numPr>
        <w:spacing w:after="60"/>
      </w:pPr>
      <w:r>
        <w:t xml:space="preserve">Chef d'équipe peintre (N4P2, SST, CACES nacelle R486) — Encadrement, traçabilité, autocontrôles</w:t>
      </w:r>
    </w:p>
    <w:p>
      <w:pPr>
        <w:pStyle w:val="ListParagraph"/>
        <w:numPr>
          <w:ilvl w:val="0"/>
          <w:numId w:val="1"/>
        </w:numPr>
        <w:spacing w:after="60"/>
      </w:pPr>
      <w:r>
        <w:t xml:space="preserve">Peintres qualifiés (N3P1/N3P2, habilitation échafaudage R408) — Préparation des supports et application</w:t>
      </w:r>
    </w:p>
    <w:p>
      <w:pPr>
        <w:pStyle w:val="ListParagraph"/>
        <w:numPr>
          <w:ilvl w:val="0"/>
          <w:numId w:val="1"/>
        </w:numPr>
        <w:spacing w:after="60"/>
      </w:pPr>
      <w:r>
        <w:t xml:space="preserve">Applicateurs (N2) — Protection, préparation, finitions courantes</w:t>
      </w:r>
    </w:p>
    <w:p>
      <w:pPr>
        <w:spacing w:after="320"/>
      </w:pPr>
      <w:r>
        <w:rPr>
          <w:color w:val="888888"/>
          <w:sz w:val="22"/>
          <w:szCs w:val="22"/>
        </w:rPr>
        <w:t xml:space="preserve">[Nom, ancienneté et disponibilité de chaque intervenant]</w:t>
      </w:r>
    </w:p>
    <w:p>
      <w:pPr>
        <w:pStyle w:val="Heading1"/>
        <w:spacing w:after="120" w:before="320"/>
      </w:pPr>
      <w:r>
        <w:t xml:space="preserve">5. Moyens matériels dédiés</w:t>
      </w:r>
    </w:p>
    <w:p>
      <w:pPr>
        <w:spacing w:after="160"/>
      </w:pPr>
      <w:r>
        <w:rPr>
          <w:i/>
          <w:iCs/>
          <w:color w:val="555555"/>
          <w:sz w:val="20"/>
          <w:szCs w:val="20"/>
        </w:rPr>
        <w:t xml:space="preserve">Matériel affecté au chantier, en propre ou en location, et matériel de secours.</w:t>
      </w:r>
    </w:p>
    <w:p>
      <w:pPr>
        <w:spacing w:after="60" w:before="120"/>
      </w:pPr>
      <w:r>
        <w:rPr>
          <w:b/>
          <w:bCs/>
        </w:rPr>
        <w:t xml:space="preserve">Préparation des supports</w:t>
      </w:r>
    </w:p>
    <w:p>
      <w:pPr>
        <w:pStyle w:val="ListParagraph"/>
        <w:numPr>
          <w:ilvl w:val="0"/>
          <w:numId w:val="1"/>
        </w:numPr>
        <w:spacing w:after="60"/>
      </w:pPr>
      <w:r>
        <w:t xml:space="preserve">Ponceuses girafe avec aspiration classe M</w:t>
      </w:r>
    </w:p>
    <w:p>
      <w:pPr>
        <w:pStyle w:val="ListParagraph"/>
        <w:numPr>
          <w:ilvl w:val="0"/>
          <w:numId w:val="1"/>
        </w:numPr>
        <w:spacing w:after="60"/>
      </w:pPr>
      <w:r>
        <w:t xml:space="preserve">Décolleuse à papiers peints, nettoyeur haute pression</w:t>
      </w:r>
    </w:p>
    <w:p>
      <w:pPr>
        <w:pStyle w:val="ListParagraph"/>
        <w:numPr>
          <w:ilvl w:val="0"/>
          <w:numId w:val="1"/>
        </w:numPr>
        <w:spacing w:after="60"/>
      </w:pPr>
      <w:r>
        <w:t xml:space="preserve">Enduiseuse airless pour ratissage mécanisé</w:t>
      </w:r>
    </w:p>
    <w:p>
      <w:pPr>
        <w:spacing w:after="60" w:before="120"/>
      </w:pPr>
      <w:r>
        <w:rPr>
          <w:b/>
          <w:bCs/>
        </w:rPr>
        <w:t xml:space="preserve">Application</w:t>
      </w:r>
    </w:p>
    <w:p>
      <w:pPr>
        <w:pStyle w:val="ListParagraph"/>
        <w:numPr>
          <w:ilvl w:val="0"/>
          <w:numId w:val="1"/>
        </w:numPr>
        <w:spacing w:after="60"/>
      </w:pPr>
      <w:r>
        <w:t xml:space="preserve">Stations airless (type Graco) pour grandes surfaces</w:t>
      </w:r>
    </w:p>
    <w:p>
      <w:pPr>
        <w:pStyle w:val="ListParagraph"/>
        <w:numPr>
          <w:ilvl w:val="0"/>
          <w:numId w:val="1"/>
        </w:numPr>
        <w:spacing w:after="60"/>
      </w:pPr>
      <w:r>
        <w:t xml:space="preserve">Rouleaux microfibres 12 mm, brosses et réchampis</w:t>
      </w:r>
    </w:p>
    <w:p>
      <w:pPr>
        <w:pStyle w:val="ListParagraph"/>
        <w:numPr>
          <w:ilvl w:val="0"/>
          <w:numId w:val="1"/>
        </w:numPr>
        <w:spacing w:after="60"/>
      </w:pPr>
      <w:r>
        <w:t xml:space="preserve">Pistolets basse pression pour boiseries et métaux</w:t>
      </w:r>
    </w:p>
    <w:p>
      <w:pPr>
        <w:spacing w:after="60" w:before="120"/>
      </w:pPr>
      <w:r>
        <w:rPr>
          <w:b/>
          <w:bCs/>
        </w:rPr>
        <w:t xml:space="preserve">Accès et contrôle</w:t>
      </w:r>
    </w:p>
    <w:p>
      <w:pPr>
        <w:pStyle w:val="ListParagraph"/>
        <w:numPr>
          <w:ilvl w:val="0"/>
          <w:numId w:val="1"/>
        </w:numPr>
        <w:spacing w:after="60"/>
      </w:pPr>
      <w:r>
        <w:t xml:space="preserve">Échafaudages roulants conformes NF EN 1004</w:t>
      </w:r>
    </w:p>
    <w:p>
      <w:pPr>
        <w:pStyle w:val="ListParagraph"/>
        <w:numPr>
          <w:ilvl w:val="0"/>
          <w:numId w:val="1"/>
        </w:numPr>
        <w:spacing w:after="60"/>
      </w:pPr>
      <w:r>
        <w:t xml:space="preserve">Hygromètre à sonde, thermomètre de surface, luxmètre</w:t>
      </w:r>
    </w:p>
    <w:p>
      <w:pPr>
        <w:spacing w:after="320"/>
      </w:pPr>
      <w:r>
        <w:rPr>
          <w:color w:val="888888"/>
          <w:sz w:val="22"/>
          <w:szCs w:val="22"/>
        </w:rPr>
        <w:t xml:space="preserve">[Complétez avec vos matériels réellement mobilisés]</w:t>
      </w:r>
    </w:p>
    <w:p>
      <w:pPr>
        <w:pStyle w:val="Heading1"/>
        <w:spacing w:after="120" w:before="320"/>
      </w:pPr>
      <w:r>
        <w:t xml:space="preserve">6. Méthodologie d'exécution détaillée</w:t>
      </w:r>
    </w:p>
    <w:p>
      <w:pPr>
        <w:spacing w:after="160"/>
      </w:pPr>
      <w:r>
        <w:rPr>
          <w:i/>
          <w:iCs/>
          <w:color w:val="555555"/>
          <w:sz w:val="20"/>
          <w:szCs w:val="20"/>
        </w:rPr>
        <w:t xml:space="preserve">Section la plus notée : comment vous exécutez concrètement les travaux du CCTP.</w:t>
      </w:r>
    </w:p>
    <w:p>
      <w:pPr>
        <w:pStyle w:val="Heading2"/>
        <w:spacing w:after="80" w:before="200"/>
      </w:pPr>
      <w:r>
        <w:t xml:space="preserve">Reconnaissance et réception des supports</w:t>
      </w:r>
    </w:p>
    <w:p>
      <w:pPr>
        <w:spacing w:after="160"/>
      </w:pPr>
      <w:r>
        <w:rPr>
          <w:i/>
          <w:iCs/>
          <w:color w:val="555555"/>
          <w:sz w:val="20"/>
          <w:szCs w:val="20"/>
        </w:rPr>
        <w:t xml:space="preserve">Visite contradictoire avec la maîtrise d'œuvre, contrôle d'humidité des subjectiles (&lt; 5 % pour les supports à base de liants hydrauliques), test de cohérence et d'adhérence des anciens fonds, procès-verbal de réception des supports avant toute application.</w:t>
      </w:r>
    </w:p>
    <w:p>
      <w:pPr>
        <w:spacing w:after="320"/>
      </w:pPr>
      <w:r>
        <w:rPr>
          <w:color w:val="888888"/>
          <w:sz w:val="22"/>
          <w:szCs w:val="22"/>
        </w:rPr>
        <w:t xml:space="preserve">[Adaptez au chantier : quantités, cadences, points singuliers]</w:t>
      </w:r>
    </w:p>
    <w:p>
      <w:pPr>
        <w:pStyle w:val="Heading2"/>
        <w:spacing w:after="80" w:before="200"/>
      </w:pPr>
      <w:r>
        <w:t xml:space="preserve">Protection et préparation</w:t>
      </w:r>
    </w:p>
    <w:p>
      <w:pPr>
        <w:spacing w:after="160"/>
      </w:pPr>
      <w:r>
        <w:rPr>
          <w:i/>
          <w:iCs/>
          <w:color w:val="555555"/>
          <w:sz w:val="20"/>
          <w:szCs w:val="20"/>
        </w:rPr>
        <w:t xml:space="preserve">Bâchage des sols et mobiliers, dépose ou protection des appareillages. Lessivage sodé puis rinçage, égrenage, rebouchage et ratissage des fonds selon l'état de finition visé (A, B ou C au sens du DTU 59.1), époussetage avant impression.</w:t>
      </w:r>
    </w:p>
    <w:p>
      <w:pPr>
        <w:spacing w:after="320"/>
      </w:pPr>
      <w:r>
        <w:rPr>
          <w:color w:val="888888"/>
          <w:sz w:val="22"/>
          <w:szCs w:val="22"/>
        </w:rPr>
        <w:t xml:space="preserve">[Adaptez au chantier : quantités, cadences, points singuliers]</w:t>
      </w:r>
    </w:p>
    <w:p>
      <w:pPr>
        <w:pStyle w:val="Heading2"/>
        <w:spacing w:after="80" w:before="200"/>
      </w:pPr>
      <w:r>
        <w:t xml:space="preserve">Application du système de peinture</w:t>
      </w:r>
    </w:p>
    <w:p>
      <w:pPr>
        <w:spacing w:after="160"/>
      </w:pPr>
      <w:r>
        <w:rPr>
          <w:i/>
          <w:iCs/>
          <w:color w:val="555555"/>
          <w:sz w:val="20"/>
          <w:szCs w:val="20"/>
        </w:rPr>
        <w:t xml:space="preserve">Couche d'impression adaptée au subjectile, puis deux couches de finition en phase aqueuse (classement COV A+). Respect des conditions d'ambiance (température supérieure à 8 °C, hygrométrie inférieure à 70 %) et des délais de recouvrement fabricant.</w:t>
      </w:r>
    </w:p>
    <w:p>
      <w:pPr>
        <w:spacing w:after="320"/>
      </w:pPr>
      <w:r>
        <w:rPr>
          <w:color w:val="888888"/>
          <w:sz w:val="22"/>
          <w:szCs w:val="22"/>
        </w:rPr>
        <w:t xml:space="preserve">[Adaptez au chantier : quantités, cadences, points singuliers]</w:t>
      </w:r>
    </w:p>
    <w:p>
      <w:pPr>
        <w:pStyle w:val="Heading2"/>
        <w:spacing w:after="80" w:before="200"/>
      </w:pPr>
      <w:r>
        <w:t xml:space="preserve">Contrôles, retouches et repli</w:t>
      </w:r>
    </w:p>
    <w:p>
      <w:pPr>
        <w:spacing w:after="160"/>
      </w:pPr>
      <w:r>
        <w:rPr>
          <w:i/>
          <w:iCs/>
          <w:color w:val="555555"/>
          <w:sz w:val="20"/>
          <w:szCs w:val="20"/>
        </w:rPr>
        <w:t xml:space="preserve">Contrôle de l'aspect en éclairage rasant et lumière du jour, reprise des manques, nettoyage complet de la zone, tri des déchets (pots et solvants en filière déchets dangereux) et remise du dossier de fin de chantier avec fiches techniques.</w:t>
      </w:r>
    </w:p>
    <w:p>
      <w:pPr>
        <w:spacing w:after="320"/>
      </w:pPr>
      <w:r>
        <w:rPr>
          <w:color w:val="888888"/>
          <w:sz w:val="22"/>
          <w:szCs w:val="22"/>
        </w:rPr>
        <w:t xml:space="preserve">[Adaptez au chantier : quantités, cadences, points singuliers]</w:t>
      </w:r>
    </w:p>
    <w:p>
      <w:pPr>
        <w:pStyle w:val="Heading1"/>
        <w:spacing w:after="120" w:before="320"/>
      </w:pPr>
      <w:r>
        <w:t xml:space="preserve">7. Normes et textes de référence</w:t>
      </w:r>
    </w:p>
    <w:p>
      <w:pPr>
        <w:pStyle w:val="ListParagraph"/>
        <w:numPr>
          <w:ilvl w:val="0"/>
          <w:numId w:val="1"/>
        </w:numPr>
        <w:spacing w:after="60"/>
      </w:pPr>
      <w:r>
        <w:t xml:space="preserve">NF DTU 59.1 — Travaux de peinture des bâtiments</w:t>
      </w:r>
    </w:p>
    <w:p>
      <w:pPr>
        <w:pStyle w:val="ListParagraph"/>
        <w:numPr>
          <w:ilvl w:val="0"/>
          <w:numId w:val="1"/>
        </w:numPr>
        <w:spacing w:after="60"/>
      </w:pPr>
      <w:r>
        <w:t xml:space="preserve">NF DTU 59.4 — Papiers peints et revêtements muraux</w:t>
      </w:r>
    </w:p>
    <w:p>
      <w:pPr>
        <w:pStyle w:val="ListParagraph"/>
        <w:numPr>
          <w:ilvl w:val="0"/>
          <w:numId w:val="1"/>
        </w:numPr>
        <w:spacing w:after="60"/>
      </w:pPr>
      <w:r>
        <w:t xml:space="preserve">NF EN 13300 — Classification des peintures intérieures</w:t>
      </w:r>
    </w:p>
    <w:p>
      <w:pPr>
        <w:pStyle w:val="ListParagraph"/>
        <w:numPr>
          <w:ilvl w:val="0"/>
          <w:numId w:val="1"/>
        </w:numPr>
        <w:spacing w:after="60"/>
      </w:pPr>
      <w:r>
        <w:t xml:space="preserve">Directive 2004/42/CE — Limitation des émissions de COV</w:t>
      </w:r>
    </w:p>
    <w:p>
      <w:pPr>
        <w:spacing w:after="320"/>
      </w:pPr>
      <w:r>
        <w:rPr>
          <w:color w:val="888888"/>
          <w:sz w:val="22"/>
          <w:szCs w:val="22"/>
        </w:rPr>
        <w:t xml:space="preserve">[Ajoutez les normes citées par le CCTP]</w:t>
      </w:r>
    </w:p>
    <w:p>
      <w:pPr>
        <w:pStyle w:val="Heading1"/>
        <w:spacing w:after="120" w:before="320"/>
      </w:pPr>
      <w:r>
        <w:t xml:space="preserve">8. Planning prévisionnel et gestion des délais</w:t>
      </w:r>
    </w:p>
    <w:p>
      <w:pPr>
        <w:spacing w:after="160"/>
      </w:pPr>
      <w:r>
        <w:rPr>
          <w:i/>
          <w:iCs/>
          <w:color w:val="555555"/>
          <w:sz w:val="20"/>
          <w:szCs w:val="20"/>
        </w:rPr>
        <w:t xml:space="preserve">Phasage, jalons contractuels, marges, gestion des aléas et des intempéries.</w:t>
      </w:r>
    </w:p>
    <w:p>
      <w:pPr>
        <w:spacing w:after="320"/>
      </w:pPr>
      <w:r>
        <w:rPr>
          <w:color w:val="888888"/>
          <w:sz w:val="22"/>
          <w:szCs w:val="22"/>
        </w:rPr>
        <w:t xml:space="preserve">[À compléter avec les informations de votre entreprise]</w:t>
      </w:r>
    </w:p>
    <w:p>
      <w:pPr>
        <w:pStyle w:val="Heading1"/>
        <w:spacing w:after="120" w:before="320"/>
      </w:pPr>
      <w:r>
        <w:t xml:space="preserve">9. Démarche qualité et contrôles</w:t>
      </w:r>
    </w:p>
    <w:p>
      <w:pPr>
        <w:spacing w:after="160"/>
      </w:pPr>
      <w:r>
        <w:rPr>
          <w:i/>
          <w:iCs/>
          <w:color w:val="555555"/>
          <w:sz w:val="20"/>
          <w:szCs w:val="20"/>
        </w:rPr>
        <w:t xml:space="preserve">Autocontrôles, points d'arrêt, traitement des non-conformités, documents de suivi.</w:t>
      </w:r>
    </w:p>
    <w:p>
      <w:pPr>
        <w:spacing w:after="320"/>
      </w:pPr>
      <w:r>
        <w:rPr>
          <w:color w:val="888888"/>
          <w:sz w:val="22"/>
          <w:szCs w:val="22"/>
        </w:rPr>
        <w:t xml:space="preserve">[À compléter avec les informations de votre entreprise]</w:t>
      </w:r>
    </w:p>
    <w:p>
      <w:pPr>
        <w:pStyle w:val="Heading1"/>
        <w:spacing w:after="120" w:before="320"/>
      </w:pPr>
      <w:r>
        <w:t xml:space="preserve">10. Hygiène, sécurité et prévention</w:t>
      </w:r>
    </w:p>
    <w:p>
      <w:pPr>
        <w:spacing w:after="160"/>
      </w:pPr>
      <w:r>
        <w:rPr>
          <w:i/>
          <w:iCs/>
          <w:color w:val="555555"/>
          <w:sz w:val="20"/>
          <w:szCs w:val="20"/>
        </w:rPr>
        <w:t xml:space="preserve">Analyse des risques du lot, mesures de prévention, accueil sécurité, coordination SPS.</w:t>
      </w:r>
    </w:p>
    <w:p>
      <w:pPr>
        <w:spacing w:after="320"/>
      </w:pPr>
      <w:r>
        <w:rPr>
          <w:color w:val="888888"/>
          <w:sz w:val="22"/>
          <w:szCs w:val="22"/>
        </w:rPr>
        <w:t xml:space="preserve">[À compléter avec les informations de votre entreprise]</w:t>
      </w:r>
    </w:p>
    <w:p>
      <w:pPr>
        <w:pStyle w:val="Heading1"/>
        <w:spacing w:after="120" w:before="320"/>
      </w:pPr>
      <w:r>
        <w:t xml:space="preserve">11. Démarche environnementale et gestion des déchets</w:t>
      </w:r>
    </w:p>
    <w:p>
      <w:pPr>
        <w:spacing w:after="160"/>
      </w:pPr>
      <w:r>
        <w:rPr>
          <w:i/>
          <w:iCs/>
          <w:color w:val="555555"/>
          <w:sz w:val="20"/>
          <w:szCs w:val="20"/>
        </w:rPr>
        <w:t xml:space="preserve">Tri à la source, filières de valorisation, traçabilité, réduction des nuisances.</w:t>
      </w:r>
    </w:p>
    <w:p>
      <w:pPr>
        <w:spacing w:after="320"/>
      </w:pPr>
      <w:r>
        <w:rPr>
          <w:color w:val="888888"/>
          <w:sz w:val="22"/>
          <w:szCs w:val="22"/>
        </w:rPr>
        <w:t xml:space="preserve">[À compléter avec les informations de votre entreprise]</w:t>
      </w:r>
    </w:p>
    <w:p>
      <w:pPr>
        <w:pStyle w:val="Heading1"/>
        <w:spacing w:after="120" w:before="320"/>
      </w:pPr>
      <w:r>
        <w:t xml:space="preserve">12. Références similaires</w:t>
      </w:r>
    </w:p>
    <w:p>
      <w:pPr>
        <w:spacing w:after="160"/>
      </w:pPr>
      <w:r>
        <w:rPr>
          <w:i/>
          <w:iCs/>
          <w:color w:val="555555"/>
          <w:sz w:val="20"/>
          <w:szCs w:val="20"/>
        </w:rPr>
        <w:t xml:space="preserve">3 à 5 références réelles et comparables : client, lieu, année, montant, nature.</w:t>
      </w:r>
    </w:p>
    <w:p>
      <w:pPr>
        <w:spacing w:after="320"/>
      </w:pPr>
      <w:r>
        <w:rPr>
          <w:color w:val="888888"/>
          <w:sz w:val="22"/>
          <w:szCs w:val="22"/>
        </w:rPr>
        <w:t xml:space="preserve">[N'indiquez que des références réellement exécutées]</w:t>
      </w:r>
    </w:p>
    <w:p>
      <w:pPr>
        <w:pStyle w:val="Heading1"/>
        <w:spacing w:after="120" w:before="320"/>
      </w:pPr>
      <w:r>
        <w:t xml:space="preserve">Annexe — points de vigilance propres au lot</w:t>
      </w:r>
    </w:p>
    <w:p>
      <w:pPr>
        <w:pStyle w:val="ListParagraph"/>
        <w:numPr>
          <w:ilvl w:val="0"/>
          <w:numId w:val="1"/>
        </w:numPr>
        <w:spacing w:after="60"/>
      </w:pPr>
      <w:r>
        <w:t xml:space="preserve">Précisez toujours l'état de finition visé (A soigné, B courant, C élémentaire) : c'est le premier critère de jugement d'un lot peinture.</w:t>
      </w:r>
    </w:p>
    <w:p>
      <w:pPr>
        <w:pStyle w:val="ListParagraph"/>
        <w:numPr>
          <w:ilvl w:val="0"/>
          <w:numId w:val="1"/>
        </w:numPr>
        <w:spacing w:after="60"/>
      </w:pPr>
      <w:r>
        <w:t xml:space="preserve">Proposez une surface témoin validée par la maîtrise d'œuvre avant généralisation — exigence quasi systématique des CCTP peinture.</w:t>
      </w:r>
    </w:p>
    <w:p>
      <w:pPr>
        <w:pStyle w:val="ListParagraph"/>
        <w:numPr>
          <w:ilvl w:val="0"/>
          <w:numId w:val="1"/>
        </w:numPr>
        <w:spacing w:after="60"/>
      </w:pPr>
      <w:r>
        <w:t xml:space="preserve">Détaillez la gestion des déchets dangereux : pots, solvants et chiffons souillés partent en filière agréée, pas en benne DIB.</w:t>
      </w:r>
    </w:p>
    <w:p>
      <w:pPr>
        <w:pStyle w:val="ListParagraph"/>
        <w:numPr>
          <w:ilvl w:val="0"/>
          <w:numId w:val="1"/>
        </w:numPr>
        <w:spacing w:after="60"/>
      </w:pPr>
      <w:r>
        <w:t xml:space="preserve">En site occupé (écoles, logements, bureaux), décrivez le phasage, les protections, la ventilation et les produits à faible émission (A+).</w:t>
      </w:r>
    </w:p>
    <w:p>
      <w:pPr>
        <w:pStyle w:val="ListParagraph"/>
        <w:numPr>
          <w:ilvl w:val="0"/>
          <w:numId w:val="1"/>
        </w:numPr>
        <w:spacing w:after="60"/>
      </w:pPr>
      <w:r>
        <w:t xml:space="preserve">Chiffrez vos cadences (m²/jour/peintre) pour crédibiliser votre planning.</w:t>
      </w:r>
    </w:p>
    <w:p>
      <w:pPr>
        <w:pStyle w:val="Heading1"/>
        <w:spacing w:after="120" w:before="320"/>
      </w:pPr>
      <w:r>
        <w:t xml:space="preserve">Annexe — exemples de formulations</w:t>
      </w:r>
    </w:p>
    <w:p>
      <w:pPr>
        <w:spacing w:after="60" w:before="160"/>
      </w:pPr>
      <w:r>
        <w:rPr>
          <w:b/>
          <w:bCs/>
        </w:rPr>
        <w:t xml:space="preserve">Méthodologie d'application</w:t>
      </w:r>
    </w:p>
    <w:p>
      <w:pPr>
        <w:spacing w:after="160"/>
      </w:pPr>
      <w:r>
        <w:rPr>
          <w:i/>
          <w:iCs/>
          <w:color w:val="555555"/>
          <w:sz w:val="20"/>
          <w:szCs w:val="20"/>
        </w:rPr>
        <w:t xml:space="preserve">Après lessivage sodé et rinçage à l'eau claire, les supports recevront une couche d'impression acrylique pigmentée, puis deux couches de finition velours en phase aqueuse (classement COV A+), appliquées au rouleau microfibre 12 mm avec un délai de recouvrement minimal de 6 heures.</w:t>
      </w:r>
    </w:p>
    <w:p>
      <w:pPr>
        <w:spacing w:after="60" w:before="160"/>
      </w:pPr>
      <w:r>
        <w:rPr>
          <w:b/>
          <w:bCs/>
        </w:rPr>
        <w:t xml:space="preserve">Démarche qualité</w:t>
      </w:r>
    </w:p>
    <w:p>
      <w:pPr>
        <w:spacing w:after="160"/>
      </w:pPr>
      <w:r>
        <w:rPr>
          <w:i/>
          <w:iCs/>
          <w:color w:val="555555"/>
          <w:sz w:val="20"/>
          <w:szCs w:val="20"/>
        </w:rPr>
        <w:t xml:space="preserve">Une surface témoin d'environ 4 m² sera réalisée dans le local désigné par la maîtrise d'œuvre et soumise à validation avant généralisation, conformément au NF DTU 59.1. L'état de finition A (soigné) sera contrôlé en éclairage rasant à chaque autocontrôle.</w:t>
      </w:r>
    </w:p>
    <w:p>
      <w:pPr>
        <w:spacing w:after="160"/>
      </w:pPr>
      <w:r>
        <w:rPr>
          <w:i/>
          <w:iCs/>
          <w:color w:val="555555"/>
          <w:sz w:val="20"/>
          <w:szCs w:val="20"/>
        </w:rPr>
        <w:t xml:space="preserve">Ces formulations sont des exemples à adapter : ne les déposez jamais telles quelles, un acheteur reconnaît immédiatement un texte générique.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mémoire technique Peinture</dc:title>
  <dc:creator>BatiRedac</dc:creator>
  <dc:description>Trame complète de mémoire technique pour les marchés de peinture : qualifications Qualibat, DTU 59.1, méthodologie d'application, moyens et exemples de formulations. PDF gratuit.</dc:description>
  <cp:lastModifiedBy>Un-named</cp:lastModifiedBy>
  <cp:revision>1</cp:revision>
  <dcterms:created xsi:type="dcterms:W3CDTF">2026-09-01T15:00:04.777Z</dcterms:created>
  <dcterms:modified xsi:type="dcterms:W3CDTF">2026-09-01T15:00:04.777Z</dcterms:modified>
</cp:coreProperties>
</file>

<file path=docProps/custom.xml><?xml version="1.0" encoding="utf-8"?>
<Properties xmlns="http://schemas.openxmlformats.org/officeDocument/2006/custom-properties" xmlns:vt="http://schemas.openxmlformats.org/officeDocument/2006/docPropsVTypes"/>
</file>