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MÉMOIRE TECHNIQUE</w:t>
      </w:r>
    </w:p>
    <w:p>
      <w:pPr>
        <w:spacing w:after="160"/>
        <w:jc w:val="center"/>
      </w:pPr>
      <w:r>
        <w:rPr>
          <w:color w:val="888888"/>
          <w:sz w:val="28"/>
          <w:szCs w:val="28"/>
        </w:rPr>
        <w:t xml:space="preserve">Lot Métallerie et serrurerie — [Nom de l'opération / du marché]</w:t>
      </w:r>
    </w:p>
    <w:p>
      <w:pPr>
        <w:spacing w:after="480"/>
        <w:jc w:val="center"/>
      </w:pPr>
      <w:r>
        <w:rPr>
          <w:color w:val="888888"/>
          <w:sz w:val="22"/>
          <w:szCs w:val="22"/>
        </w:rPr>
        <w:t xml:space="preserve">[Nom de votre entreprise] — [SIRET] — [Lot concerné]</w:t>
      </w:r>
    </w:p>
    <w:p>
      <w:pPr>
        <w:spacing w:after="160"/>
      </w:pPr>
      <w:r>
        <w:rPr>
          <w:i/>
          <w:iCs/>
          <w:color w:val="555555"/>
          <w:sz w:val="20"/>
          <w:szCs w:val="20"/>
        </w:rPr>
        <w:t xml:space="preserve">Modèle gratuit proposé par BatiRedac (batiredac.com/modele-memoire-technique/metallerie-serrurerie). Remplacez chaque consigne par votre contenu et alignez les sections sur les critères du règlement de consultation. Supprimez cette ligne avant dépôt.</w:t>
      </w:r>
    </w:p>
    <w:p>
      <w:pPr>
        <w:pStyle w:val="Heading1"/>
        <w:spacing w:after="120" w:before="320"/>
      </w:pPr>
      <w:r>
        <w:t xml:space="preserve">1. Présentation de l'entreprise</w:t>
      </w:r>
    </w:p>
    <w:p>
      <w:pPr>
        <w:spacing w:after="160"/>
      </w:pPr>
      <w:r>
        <w:rPr>
          <w:i/>
          <w:iCs/>
          <w:color w:val="555555"/>
          <w:sz w:val="20"/>
          <w:szCs w:val="20"/>
        </w:rPr>
        <w:t xml:space="preserve">Identité, historique, effectifs, chiffre d'affaires, zone d'intervention.</w:t>
      </w:r>
    </w:p>
    <w:p>
      <w:pPr>
        <w:spacing w:after="320"/>
      </w:pPr>
      <w:r>
        <w:rPr>
          <w:color w:val="888888"/>
          <w:sz w:val="22"/>
          <w:szCs w:val="22"/>
        </w:rPr>
        <w:t xml:space="preserve">[À compléter avec les informations de votre entreprise]</w:t>
      </w:r>
    </w:p>
    <w:p>
      <w:pPr>
        <w:pStyle w:val="Heading1"/>
        <w:spacing w:after="120" w:before="320"/>
      </w:pPr>
      <w:r>
        <w:t xml:space="preserve">2. Qualifications et assurances</w:t>
      </w:r>
    </w:p>
    <w:p>
      <w:pPr>
        <w:spacing w:after="160"/>
      </w:pPr>
      <w:r>
        <w:rPr>
          <w:i/>
          <w:iCs/>
          <w:color w:val="555555"/>
          <w:sz w:val="20"/>
          <w:szCs w:val="20"/>
        </w:rPr>
        <w:t xml:space="preserve">Qualifications attendues sur ce type de lot (joindre les certificats en cours de validité) :</w:t>
      </w:r>
    </w:p>
    <w:p>
      <w:pPr>
        <w:pStyle w:val="ListParagraph"/>
        <w:numPr>
          <w:ilvl w:val="0"/>
          <w:numId w:val="1"/>
        </w:numPr>
        <w:spacing w:after="60"/>
      </w:pPr>
      <w:r>
        <w:t xml:space="preserve">Qualibat 2513/2514 — Serrurerie, métallerie — technicité courante et confirmée</w:t>
      </w:r>
    </w:p>
    <w:p>
      <w:pPr>
        <w:pStyle w:val="ListParagraph"/>
        <w:numPr>
          <w:ilvl w:val="0"/>
          <w:numId w:val="1"/>
        </w:numPr>
        <w:spacing w:after="60"/>
      </w:pPr>
      <w:r>
        <w:t xml:space="preserve">Marquage CE NF EN 1090-1 — Obligatoire pour la mise sur le marché de structures métalliques</w:t>
      </w:r>
    </w:p>
    <w:p>
      <w:pPr>
        <w:pStyle w:val="ListParagraph"/>
        <w:numPr>
          <w:ilvl w:val="0"/>
          <w:numId w:val="1"/>
        </w:numPr>
        <w:spacing w:after="60"/>
      </w:pPr>
      <w:r>
        <w:t xml:space="preserve">Qualification soudage NF EN ISO 3834 — Exigences de qualité pour le soudage par fusion</w:t>
      </w:r>
    </w:p>
    <w:p>
      <w:pPr>
        <w:pStyle w:val="ListParagraph"/>
        <w:numPr>
          <w:ilvl w:val="0"/>
          <w:numId w:val="1"/>
        </w:numPr>
        <w:spacing w:after="60"/>
      </w:pPr>
      <w:r>
        <w:t xml:space="preserve">Décennale — attestation d'assurance couvrant les ouvrages de métallerie</w:t>
      </w:r>
    </w:p>
    <w:p>
      <w:pPr>
        <w:spacing w:after="320"/>
      </w:pPr>
      <w:r>
        <w:rPr>
          <w:color w:val="888888"/>
          <w:sz w:val="22"/>
          <w:szCs w:val="22"/>
        </w:rPr>
        <w:t xml:space="preserve">[Références de vos certificats et attestations d'assurance]</w:t>
      </w:r>
    </w:p>
    <w:p>
      <w:pPr>
        <w:pStyle w:val="Heading1"/>
        <w:spacing w:after="120" w:before="320"/>
      </w:pPr>
      <w:r>
        <w:t xml:space="preserve">3. Compréhension du projet et des enjeux</w:t>
      </w:r>
    </w:p>
    <w:p>
      <w:pPr>
        <w:spacing w:after="160"/>
      </w:pPr>
      <w:r>
        <w:rPr>
          <w:i/>
          <w:iCs/>
          <w:color w:val="555555"/>
          <w:sz w:val="20"/>
          <w:szCs w:val="20"/>
        </w:rPr>
        <w:t xml:space="preserve">Reformulez le contexte du marché et identifiez 3 à 5 enjeux issus du CCTP.</w:t>
      </w:r>
    </w:p>
    <w:p>
      <w:pPr>
        <w:spacing w:after="320"/>
      </w:pPr>
      <w:r>
        <w:rPr>
          <w:color w:val="888888"/>
          <w:sz w:val="22"/>
          <w:szCs w:val="22"/>
        </w:rPr>
        <w:t xml:space="preserve">[À compléter avec les informations de votre entreprise]</w:t>
      </w:r>
    </w:p>
    <w:p>
      <w:pPr>
        <w:pStyle w:val="Heading1"/>
        <w:spacing w:after="120" w:before="320"/>
      </w:pPr>
      <w:r>
        <w:t xml:space="preserve">4. Moyens humains affectés</w:t>
      </w:r>
    </w:p>
    <w:p>
      <w:pPr>
        <w:spacing w:after="160"/>
      </w:pPr>
      <w:r>
        <w:rPr>
          <w:i/>
          <w:iCs/>
          <w:color w:val="555555"/>
          <w:sz w:val="20"/>
          <w:szCs w:val="20"/>
        </w:rPr>
        <w:t xml:space="preserve">Effectif dédié, qualifications et rôle de chacun. Trame type pour ce métier :</w:t>
      </w:r>
    </w:p>
    <w:p>
      <w:pPr>
        <w:pStyle w:val="ListParagraph"/>
        <w:numPr>
          <w:ilvl w:val="0"/>
          <w:numId w:val="1"/>
        </w:numPr>
        <w:spacing w:after="60"/>
      </w:pPr>
      <w:r>
        <w:t xml:space="preserve">Bureau d'études métallerie (Ingénieur structure métallique, logiciel de calcul) — Notes de calcul, plans d'exécution, conformité NF EN 1090</w:t>
      </w:r>
    </w:p>
    <w:p>
      <w:pPr>
        <w:pStyle w:val="ListParagraph"/>
        <w:numPr>
          <w:ilvl w:val="0"/>
          <w:numId w:val="1"/>
        </w:numPr>
        <w:spacing w:after="60"/>
      </w:pPr>
      <w:r>
        <w:t xml:space="preserve">Chef d'atelier (Coordinateur en soudage NF EN ISO 14731) — Suivi des qualifications de soudeurs, contrôle fabrication</w:t>
      </w:r>
    </w:p>
    <w:p>
      <w:pPr>
        <w:pStyle w:val="ListParagraph"/>
        <w:numPr>
          <w:ilvl w:val="0"/>
          <w:numId w:val="1"/>
        </w:numPr>
        <w:spacing w:after="60"/>
      </w:pPr>
      <w:r>
        <w:t xml:space="preserve">Soudeurs qualifiés (Qualification de soudeur NF EN ISO 9606) — Soudage des assemblages structurels et courants</w:t>
      </w:r>
    </w:p>
    <w:p>
      <w:pPr>
        <w:pStyle w:val="ListParagraph"/>
        <w:numPr>
          <w:ilvl w:val="0"/>
          <w:numId w:val="1"/>
        </w:numPr>
        <w:spacing w:after="60"/>
      </w:pPr>
      <w:r>
        <w:t xml:space="preserve">Poseurs métalliers (N3, habilitation travail en hauteur) — Pose, réglage, scellement et finitions sur site</w:t>
      </w:r>
    </w:p>
    <w:p>
      <w:pPr>
        <w:spacing w:after="320"/>
      </w:pPr>
      <w:r>
        <w:rPr>
          <w:color w:val="888888"/>
          <w:sz w:val="22"/>
          <w:szCs w:val="22"/>
        </w:rPr>
        <w:t xml:space="preserve">[Nom, ancienneté et disponibilité de chaque intervenant]</w:t>
      </w:r>
    </w:p>
    <w:p>
      <w:pPr>
        <w:pStyle w:val="Heading1"/>
        <w:spacing w:after="120" w:before="320"/>
      </w:pPr>
      <w:r>
        <w:t xml:space="preserve">5. Moyens matériels dédiés</w:t>
      </w:r>
    </w:p>
    <w:p>
      <w:pPr>
        <w:spacing w:after="160"/>
      </w:pPr>
      <w:r>
        <w:rPr>
          <w:i/>
          <w:iCs/>
          <w:color w:val="555555"/>
          <w:sz w:val="20"/>
          <w:szCs w:val="20"/>
        </w:rPr>
        <w:t xml:space="preserve">Matériel affecté au chantier, en propre ou en location, et matériel de secours.</w:t>
      </w:r>
    </w:p>
    <w:p>
      <w:pPr>
        <w:spacing w:after="60" w:before="120"/>
      </w:pPr>
      <w:r>
        <w:rPr>
          <w:b/>
          <w:bCs/>
        </w:rPr>
        <w:t xml:space="preserve">Atelier de fabrication</w:t>
      </w:r>
    </w:p>
    <w:p>
      <w:pPr>
        <w:pStyle w:val="ListParagraph"/>
        <w:numPr>
          <w:ilvl w:val="0"/>
          <w:numId w:val="1"/>
        </w:numPr>
        <w:spacing w:after="60"/>
      </w:pPr>
      <w:r>
        <w:t xml:space="preserve">Postes de soudage MIG/MAG et TIG qualifiés</w:t>
      </w:r>
    </w:p>
    <w:p>
      <w:pPr>
        <w:pStyle w:val="ListParagraph"/>
        <w:numPr>
          <w:ilvl w:val="0"/>
          <w:numId w:val="1"/>
        </w:numPr>
        <w:spacing w:after="60"/>
      </w:pPr>
      <w:r>
        <w:t xml:space="preserve">Cintreuses, poinçonneuses, découpe plasma/laser</w:t>
      </w:r>
    </w:p>
    <w:p>
      <w:pPr>
        <w:spacing w:after="60" w:before="120"/>
      </w:pPr>
      <w:r>
        <w:rPr>
          <w:b/>
          <w:bCs/>
        </w:rPr>
        <w:t xml:space="preserve">Contrôle</w:t>
      </w:r>
    </w:p>
    <w:p>
      <w:pPr>
        <w:pStyle w:val="ListParagraph"/>
        <w:numPr>
          <w:ilvl w:val="0"/>
          <w:numId w:val="1"/>
        </w:numPr>
        <w:spacing w:after="60"/>
      </w:pPr>
      <w:r>
        <w:t xml:space="preserve">Pied à coulisse, gabarits de contrôle dimensionnel</w:t>
      </w:r>
    </w:p>
    <w:p>
      <w:pPr>
        <w:pStyle w:val="ListParagraph"/>
        <w:numPr>
          <w:ilvl w:val="0"/>
          <w:numId w:val="1"/>
        </w:numPr>
        <w:spacing w:after="60"/>
      </w:pPr>
      <w:r>
        <w:t xml:space="preserve">Kit de ressuage pour contrôle non destructif des soudures</w:t>
      </w:r>
    </w:p>
    <w:p>
      <w:pPr>
        <w:spacing w:after="60" w:before="120"/>
      </w:pPr>
      <w:r>
        <w:rPr>
          <w:b/>
          <w:bCs/>
        </w:rPr>
        <w:t xml:space="preserve">Pose et levage</w:t>
      </w:r>
    </w:p>
    <w:p>
      <w:pPr>
        <w:pStyle w:val="ListParagraph"/>
        <w:numPr>
          <w:ilvl w:val="0"/>
          <w:numId w:val="1"/>
        </w:numPr>
        <w:spacing w:after="60"/>
      </w:pPr>
      <w:r>
        <w:t xml:space="preserve">Nacelles élévatrices (CACES R486), grues auxiliaires de manutention</w:t>
      </w:r>
    </w:p>
    <w:p>
      <w:pPr>
        <w:pStyle w:val="ListParagraph"/>
        <w:numPr>
          <w:ilvl w:val="0"/>
          <w:numId w:val="1"/>
        </w:numPr>
        <w:spacing w:after="60"/>
      </w:pPr>
      <w:r>
        <w:t xml:space="preserve">Perceuses à percussion, chevilles chimiques certifiées</w:t>
      </w:r>
    </w:p>
    <w:p>
      <w:pPr>
        <w:spacing w:after="320"/>
      </w:pPr>
      <w:r>
        <w:rPr>
          <w:color w:val="888888"/>
          <w:sz w:val="22"/>
          <w:szCs w:val="22"/>
        </w:rPr>
        <w:t xml:space="preserve">[Complétez avec vos matériels réellement mobilisés]</w:t>
      </w:r>
    </w:p>
    <w:p>
      <w:pPr>
        <w:pStyle w:val="Heading1"/>
        <w:spacing w:after="120" w:before="320"/>
      </w:pPr>
      <w:r>
        <w:t xml:space="preserve">6. Méthodologie d'exécution détaillée</w:t>
      </w:r>
    </w:p>
    <w:p>
      <w:pPr>
        <w:spacing w:after="160"/>
      </w:pPr>
      <w:r>
        <w:rPr>
          <w:i/>
          <w:iCs/>
          <w:color w:val="555555"/>
          <w:sz w:val="20"/>
          <w:szCs w:val="20"/>
        </w:rPr>
        <w:t xml:space="preserve">Section la plus notée : comment vous exécutez concrètement les travaux du CCTP.</w:t>
      </w:r>
    </w:p>
    <w:p>
      <w:pPr>
        <w:pStyle w:val="Heading2"/>
        <w:spacing w:after="80" w:before="200"/>
      </w:pPr>
      <w:r>
        <w:t xml:space="preserve">Études d'exécution et notes de calcul</w:t>
      </w:r>
    </w:p>
    <w:p>
      <w:pPr>
        <w:spacing w:after="160"/>
      </w:pPr>
      <w:r>
        <w:rPr>
          <w:i/>
          <w:iCs/>
          <w:color w:val="555555"/>
          <w:sz w:val="20"/>
          <w:szCs w:val="20"/>
        </w:rPr>
        <w:t xml:space="preserve">Élaboration des plans d'exécution et notes de calcul de structure (descentes de charge, résistance au vent, classes d'exécution EXC selon NF EN 1090-2), soumission au bureau de contrôle et visa de la maîtrise d'œuvre avant lancement en fabrication.</w:t>
      </w:r>
    </w:p>
    <w:p>
      <w:pPr>
        <w:spacing w:after="320"/>
      </w:pPr>
      <w:r>
        <w:rPr>
          <w:color w:val="888888"/>
          <w:sz w:val="22"/>
          <w:szCs w:val="22"/>
        </w:rPr>
        <w:t xml:space="preserve">[Adaptez au chantier : quantités, cadences, points singuliers]</w:t>
      </w:r>
    </w:p>
    <w:p>
      <w:pPr>
        <w:pStyle w:val="Heading2"/>
        <w:spacing w:after="80" w:before="200"/>
      </w:pPr>
      <w:r>
        <w:t xml:space="preserve">Fabrication en atelier</w:t>
      </w:r>
    </w:p>
    <w:p>
      <w:pPr>
        <w:spacing w:after="160"/>
      </w:pPr>
      <w:r>
        <w:rPr>
          <w:i/>
          <w:iCs/>
          <w:color w:val="555555"/>
          <w:sz w:val="20"/>
          <w:szCs w:val="20"/>
        </w:rPr>
        <w:t xml:space="preserve">Découpe et façonnage des profilés selon les plans validés, assemblage par soudage qualifié conformément à la NF EN ISO 3834, contrôle dimensionnel systématique et contrôle non destructif (visuel, ressuage) des soudures structurelles avant traitement de surface (galvanisation, thermolaquage).</w:t>
      </w:r>
    </w:p>
    <w:p>
      <w:pPr>
        <w:spacing w:after="320"/>
      </w:pPr>
      <w:r>
        <w:rPr>
          <w:color w:val="888888"/>
          <w:sz w:val="22"/>
          <w:szCs w:val="22"/>
        </w:rPr>
        <w:t xml:space="preserve">[Adaptez au chantier : quantités, cadences, points singuliers]</w:t>
      </w:r>
    </w:p>
    <w:p>
      <w:pPr>
        <w:pStyle w:val="Heading2"/>
        <w:spacing w:after="80" w:before="200"/>
      </w:pPr>
      <w:r>
        <w:t xml:space="preserve">Pose, réglage et fixation</w:t>
      </w:r>
    </w:p>
    <w:p>
      <w:pPr>
        <w:spacing w:after="160"/>
      </w:pPr>
      <w:r>
        <w:rPr>
          <w:i/>
          <w:iCs/>
          <w:color w:val="555555"/>
          <w:sz w:val="20"/>
          <w:szCs w:val="20"/>
        </w:rPr>
        <w:t xml:space="preserve">Levage et mise en place des éléments avec moyens adaptés au gabarit, réglage d'aplomb et de niveau, fixation par scellement chimique ou platines boulonnées dimensionnées selon la note de calcul, protection provisoire des ouvrages jusqu'à réception.</w:t>
      </w:r>
    </w:p>
    <w:p>
      <w:pPr>
        <w:spacing w:after="320"/>
      </w:pPr>
      <w:r>
        <w:rPr>
          <w:color w:val="888888"/>
          <w:sz w:val="22"/>
          <w:szCs w:val="22"/>
        </w:rPr>
        <w:t xml:space="preserve">[Adaptez au chantier : quantités, cadences, points singuliers]</w:t>
      </w:r>
    </w:p>
    <w:p>
      <w:pPr>
        <w:pStyle w:val="Heading2"/>
        <w:spacing w:after="80" w:before="200"/>
      </w:pPr>
      <w:r>
        <w:t xml:space="preserve">Contrôles finaux et réception</w:t>
      </w:r>
    </w:p>
    <w:p>
      <w:pPr>
        <w:spacing w:after="160"/>
      </w:pPr>
      <w:r>
        <w:rPr>
          <w:i/>
          <w:iCs/>
          <w:color w:val="555555"/>
          <w:sz w:val="20"/>
          <w:szCs w:val="20"/>
        </w:rPr>
        <w:t xml:space="preserve">Essais de résistance des garde-corps et mains courantes (charge horizontale réglementaire), vérification de l'accessibilité PMR pour les menuiseries et serrureries concernées, contrôle du fonctionnement des ouvrants et fermetures, remise du DOE avec PV d'essais, certificats matière et attestations de conformité au marquage CE.</w:t>
      </w:r>
    </w:p>
    <w:p>
      <w:pPr>
        <w:spacing w:after="320"/>
      </w:pPr>
      <w:r>
        <w:rPr>
          <w:color w:val="888888"/>
          <w:sz w:val="22"/>
          <w:szCs w:val="22"/>
        </w:rPr>
        <w:t xml:space="preserve">[Adaptez au chantier : quantités, cadences, points singuliers]</w:t>
      </w:r>
    </w:p>
    <w:p>
      <w:pPr>
        <w:pStyle w:val="Heading1"/>
        <w:spacing w:after="120" w:before="320"/>
      </w:pPr>
      <w:r>
        <w:t xml:space="preserve">7. Normes et textes de référence</w:t>
      </w:r>
    </w:p>
    <w:p>
      <w:pPr>
        <w:pStyle w:val="ListParagraph"/>
        <w:numPr>
          <w:ilvl w:val="0"/>
          <w:numId w:val="1"/>
        </w:numPr>
        <w:spacing w:after="60"/>
      </w:pPr>
      <w:r>
        <w:t xml:space="preserve">NF DTU 32.1 — Construction métallique : charpente en acier</w:t>
      </w:r>
    </w:p>
    <w:p>
      <w:pPr>
        <w:pStyle w:val="ListParagraph"/>
        <w:numPr>
          <w:ilvl w:val="0"/>
          <w:numId w:val="1"/>
        </w:numPr>
        <w:spacing w:after="60"/>
      </w:pPr>
      <w:r>
        <w:t xml:space="preserve">NF EN 1090-1 et 1090-2 — Exécution des structures en acier et en aluminium, marquage CE, classes EXC</w:t>
      </w:r>
    </w:p>
    <w:p>
      <w:pPr>
        <w:pStyle w:val="ListParagraph"/>
        <w:numPr>
          <w:ilvl w:val="0"/>
          <w:numId w:val="1"/>
        </w:numPr>
        <w:spacing w:after="60"/>
      </w:pPr>
      <w:r>
        <w:t xml:space="preserve">NF EN ISO 3834 — Exigences de qualité en soudage par fusion des matériaux métalliques</w:t>
      </w:r>
    </w:p>
    <w:p>
      <w:pPr>
        <w:pStyle w:val="ListParagraph"/>
        <w:numPr>
          <w:ilvl w:val="0"/>
          <w:numId w:val="1"/>
        </w:numPr>
        <w:spacing w:after="60"/>
      </w:pPr>
      <w:r>
        <w:t xml:space="preserve">NF P01-012 — Dimensions des garde-corps — règles de sécurité</w:t>
      </w:r>
    </w:p>
    <w:p>
      <w:pPr>
        <w:spacing w:after="320"/>
      </w:pPr>
      <w:r>
        <w:rPr>
          <w:color w:val="888888"/>
          <w:sz w:val="22"/>
          <w:szCs w:val="22"/>
        </w:rPr>
        <w:t xml:space="preserve">[Ajoutez les normes citées par le CCTP]</w:t>
      </w:r>
    </w:p>
    <w:p>
      <w:pPr>
        <w:pStyle w:val="Heading1"/>
        <w:spacing w:after="120" w:before="320"/>
      </w:pPr>
      <w:r>
        <w:t xml:space="preserve">8. Planning prévisionnel et gestion des délais</w:t>
      </w:r>
    </w:p>
    <w:p>
      <w:pPr>
        <w:spacing w:after="160"/>
      </w:pPr>
      <w:r>
        <w:rPr>
          <w:i/>
          <w:iCs/>
          <w:color w:val="555555"/>
          <w:sz w:val="20"/>
          <w:szCs w:val="20"/>
        </w:rPr>
        <w:t xml:space="preserve">Phasage, jalons contractuels, marges, gestion des aléas et des intempéries.</w:t>
      </w:r>
    </w:p>
    <w:p>
      <w:pPr>
        <w:spacing w:after="320"/>
      </w:pPr>
      <w:r>
        <w:rPr>
          <w:color w:val="888888"/>
          <w:sz w:val="22"/>
          <w:szCs w:val="22"/>
        </w:rPr>
        <w:t xml:space="preserve">[À compléter avec les informations de votre entreprise]</w:t>
      </w:r>
    </w:p>
    <w:p>
      <w:pPr>
        <w:pStyle w:val="Heading1"/>
        <w:spacing w:after="120" w:before="320"/>
      </w:pPr>
      <w:r>
        <w:t xml:space="preserve">9. Démarche qualité et contrôles</w:t>
      </w:r>
    </w:p>
    <w:p>
      <w:pPr>
        <w:spacing w:after="160"/>
      </w:pPr>
      <w:r>
        <w:rPr>
          <w:i/>
          <w:iCs/>
          <w:color w:val="555555"/>
          <w:sz w:val="20"/>
          <w:szCs w:val="20"/>
        </w:rPr>
        <w:t xml:space="preserve">Autocontrôles, points d'arrêt, traitement des non-conformités, documents de suivi.</w:t>
      </w:r>
    </w:p>
    <w:p>
      <w:pPr>
        <w:spacing w:after="320"/>
      </w:pPr>
      <w:r>
        <w:rPr>
          <w:color w:val="888888"/>
          <w:sz w:val="22"/>
          <w:szCs w:val="22"/>
        </w:rPr>
        <w:t xml:space="preserve">[À compléter avec les informations de votre entreprise]</w:t>
      </w:r>
    </w:p>
    <w:p>
      <w:pPr>
        <w:pStyle w:val="Heading1"/>
        <w:spacing w:after="120" w:before="320"/>
      </w:pPr>
      <w:r>
        <w:t xml:space="preserve">10. Hygiène, sécurité et prévention</w:t>
      </w:r>
    </w:p>
    <w:p>
      <w:pPr>
        <w:spacing w:after="160"/>
      </w:pPr>
      <w:r>
        <w:rPr>
          <w:i/>
          <w:iCs/>
          <w:color w:val="555555"/>
          <w:sz w:val="20"/>
          <w:szCs w:val="20"/>
        </w:rPr>
        <w:t xml:space="preserve">Analyse des risques du lot, mesures de prévention, accueil sécurité, coordination SPS.</w:t>
      </w:r>
    </w:p>
    <w:p>
      <w:pPr>
        <w:spacing w:after="320"/>
      </w:pPr>
      <w:r>
        <w:rPr>
          <w:color w:val="888888"/>
          <w:sz w:val="22"/>
          <w:szCs w:val="22"/>
        </w:rPr>
        <w:t xml:space="preserve">[À compléter avec les informations de votre entreprise]</w:t>
      </w:r>
    </w:p>
    <w:p>
      <w:pPr>
        <w:pStyle w:val="Heading1"/>
        <w:spacing w:after="120" w:before="320"/>
      </w:pPr>
      <w:r>
        <w:t xml:space="preserve">11. Démarche environnementale et gestion des déchets</w:t>
      </w:r>
    </w:p>
    <w:p>
      <w:pPr>
        <w:spacing w:after="160"/>
      </w:pPr>
      <w:r>
        <w:rPr>
          <w:i/>
          <w:iCs/>
          <w:color w:val="555555"/>
          <w:sz w:val="20"/>
          <w:szCs w:val="20"/>
        </w:rPr>
        <w:t xml:space="preserve">Tri à la source, filières de valorisation, traçabilité, réduction des nuisances.</w:t>
      </w:r>
    </w:p>
    <w:p>
      <w:pPr>
        <w:spacing w:after="320"/>
      </w:pPr>
      <w:r>
        <w:rPr>
          <w:color w:val="888888"/>
          <w:sz w:val="22"/>
          <w:szCs w:val="22"/>
        </w:rPr>
        <w:t xml:space="preserve">[À compléter avec les informations de votre entreprise]</w:t>
      </w:r>
    </w:p>
    <w:p>
      <w:pPr>
        <w:pStyle w:val="Heading1"/>
        <w:spacing w:after="120" w:before="320"/>
      </w:pPr>
      <w:r>
        <w:t xml:space="preserve">12. Références similaires</w:t>
      </w:r>
    </w:p>
    <w:p>
      <w:pPr>
        <w:spacing w:after="160"/>
      </w:pPr>
      <w:r>
        <w:rPr>
          <w:i/>
          <w:iCs/>
          <w:color w:val="555555"/>
          <w:sz w:val="20"/>
          <w:szCs w:val="20"/>
        </w:rPr>
        <w:t xml:space="preserve">3 à 5 références réelles et comparables : client, lieu, année, montant, nature.</w:t>
      </w:r>
    </w:p>
    <w:p>
      <w:pPr>
        <w:spacing w:after="320"/>
      </w:pPr>
      <w:r>
        <w:rPr>
          <w:color w:val="888888"/>
          <w:sz w:val="22"/>
          <w:szCs w:val="22"/>
        </w:rPr>
        <w:t xml:space="preserve">[N'indiquez que des références réellement exécutées]</w:t>
      </w:r>
    </w:p>
    <w:p>
      <w:pPr>
        <w:pStyle w:val="Heading1"/>
        <w:spacing w:after="120" w:before="320"/>
      </w:pPr>
      <w:r>
        <w:t xml:space="preserve">Annexe — points de vigilance propres au lot</w:t>
      </w:r>
    </w:p>
    <w:p>
      <w:pPr>
        <w:pStyle w:val="ListParagraph"/>
        <w:numPr>
          <w:ilvl w:val="0"/>
          <w:numId w:val="1"/>
        </w:numPr>
        <w:spacing w:after="60"/>
      </w:pPr>
      <w:r>
        <w:t xml:space="preserve">Précisez la classe d'exécution EXC retenue (EXC1 à EXC4 selon NF EN 1090-2) : elle conditionne le niveau de contrôle exigé sur les soudures.</w:t>
      </w:r>
    </w:p>
    <w:p>
      <w:pPr>
        <w:pStyle w:val="ListParagraph"/>
        <w:numPr>
          <w:ilvl w:val="0"/>
          <w:numId w:val="1"/>
        </w:numPr>
        <w:spacing w:after="60"/>
      </w:pPr>
      <w:r>
        <w:t xml:space="preserve">Rappelez que les soudeurs doivent être qualifiés selon NF EN ISO 9606 pour les assemblages structurels — un point de contrôle fréquent des bureaux de contrôle.</w:t>
      </w:r>
    </w:p>
    <w:p>
      <w:pPr>
        <w:pStyle w:val="ListParagraph"/>
        <w:numPr>
          <w:ilvl w:val="0"/>
          <w:numId w:val="1"/>
        </w:numPr>
        <w:spacing w:after="60"/>
      </w:pPr>
      <w:r>
        <w:t xml:space="preserve">Détaillez les efforts pris en compte pour les garde-corps (charge horizontale selon NF P01-012) et joignez si possible une note de calcul type.</w:t>
      </w:r>
    </w:p>
    <w:p>
      <w:pPr>
        <w:pStyle w:val="ListParagraph"/>
        <w:numPr>
          <w:ilvl w:val="0"/>
          <w:numId w:val="1"/>
        </w:numPr>
        <w:spacing w:after="60"/>
      </w:pPr>
      <w:r>
        <w:t xml:space="preserve">Sur les établissements recevant du public, mentionnez les PV de résistance au feu des menuiseries métalliques concernées.</w:t>
      </w:r>
    </w:p>
    <w:p>
      <w:pPr>
        <w:pStyle w:val="ListParagraph"/>
        <w:numPr>
          <w:ilvl w:val="0"/>
          <w:numId w:val="1"/>
        </w:numPr>
        <w:spacing w:after="60"/>
      </w:pPr>
      <w:r>
        <w:t xml:space="preserve">Vérifiez systématiquement la conformité PMR des serrureries (poignées, largeurs de passage, efforts de manœuvre) dès la conception.</w:t>
      </w:r>
    </w:p>
    <w:p>
      <w:pPr>
        <w:pStyle w:val="Heading1"/>
        <w:spacing w:after="120" w:before="320"/>
      </w:pPr>
      <w:r>
        <w:t xml:space="preserve">Annexe — exemples de formulations</w:t>
      </w:r>
    </w:p>
    <w:p>
      <w:pPr>
        <w:spacing w:after="60" w:before="160"/>
      </w:pPr>
      <w:r>
        <w:rPr>
          <w:b/>
          <w:bCs/>
        </w:rPr>
        <w:t xml:space="preserve">Qualité de fabrication</w:t>
      </w:r>
    </w:p>
    <w:p>
      <w:pPr>
        <w:spacing w:after="160"/>
      </w:pPr>
      <w:r>
        <w:rPr>
          <w:i/>
          <w:iCs/>
          <w:color w:val="555555"/>
          <w:sz w:val="20"/>
          <w:szCs w:val="20"/>
        </w:rPr>
        <w:t xml:space="preserve">L'ensemble des assemblages soudés sera réalisé par des soudeurs qualifiés selon la norme NF EN ISO 9606, dans le cadre d'un système de gestion de la qualité en soudage conforme à la NF EN ISO 3834. Un contrôle visuel à 100 % et un contrôle par ressuage sur les soudures structurelles seront réalisés avant traitement de surface.</w:t>
      </w:r>
    </w:p>
    <w:p>
      <w:pPr>
        <w:spacing w:after="60" w:before="160"/>
      </w:pPr>
      <w:r>
        <w:rPr>
          <w:b/>
          <w:bCs/>
        </w:rPr>
        <w:t xml:space="preserve">Garde-corps et sécurité</w:t>
      </w:r>
    </w:p>
    <w:p>
      <w:pPr>
        <w:spacing w:after="160"/>
      </w:pPr>
      <w:r>
        <w:rPr>
          <w:i/>
          <w:iCs/>
          <w:color w:val="555555"/>
          <w:sz w:val="20"/>
          <w:szCs w:val="20"/>
        </w:rPr>
        <w:t xml:space="preserve">Les garde-corps seront dimensionnés pour résister à une charge horizontale de 1 kN/ml appliquée à la main courante, conformément à la NF P01-012. Un essai de résistance sera réalisé par sondage en présence de la maîtrise d'œuvre avant réception de l'ouvrage.</w:t>
      </w:r>
    </w:p>
    <w:p>
      <w:pPr>
        <w:spacing w:after="160"/>
      </w:pPr>
      <w:r>
        <w:rPr>
          <w:i/>
          <w:iCs/>
          <w:color w:val="555555"/>
          <w:sz w:val="20"/>
          <w:szCs w:val="20"/>
        </w:rPr>
        <w:t xml:space="preserve">Ces formulations sont des exemples à adapter : ne les déposez jamais telles quelles, un acheteur reconnaît immédiatement un texte générique.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mémoire technique Métallerie et serrurerie</dc:title>
  <dc:creator>BatiRedac</dc:creator>
  <dc:description>Trame de mémoire technique métallerie et serrurerie : DTU 32.1, NF EN 1090, soudage NF EN ISO 3834, garde-corps, PV feu, PMR. PDF gratuit.</dc:description>
  <cp:lastModifiedBy>Un-named</cp:lastModifiedBy>
  <cp:revision>1</cp:revision>
  <dcterms:created xsi:type="dcterms:W3CDTF">2026-09-01T15:00:05.308Z</dcterms:created>
  <dcterms:modified xsi:type="dcterms:W3CDTF">2026-09-01T15:00:05.308Z</dcterms:modified>
</cp:coreProperties>
</file>

<file path=docProps/custom.xml><?xml version="1.0" encoding="utf-8"?>
<Properties xmlns="http://schemas.openxmlformats.org/officeDocument/2006/custom-properties" xmlns:vt="http://schemas.openxmlformats.org/officeDocument/2006/docPropsVTypes"/>
</file>