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Menuiserie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(batiredac.com/modele-memoire-technique/menuiserie).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3511 — Menuiseries extérieures bois (selon matériau : familles alu/PVC)</w:t>
      </w:r>
    </w:p>
    <w:p>
      <w:pPr>
        <w:pStyle w:val="ListParagraph"/>
        <w:numPr>
          <w:ilvl w:val="0"/>
          <w:numId w:val="1"/>
        </w:numPr>
        <w:spacing w:after="60"/>
      </w:pPr>
      <w:r>
        <w:t xml:space="preserve">RGE — indispensable pour les marchés de rénovation énergétique</w:t>
      </w:r>
    </w:p>
    <w:p>
      <w:pPr>
        <w:pStyle w:val="ListParagraph"/>
        <w:numPr>
          <w:ilvl w:val="0"/>
          <w:numId w:val="1"/>
        </w:numPr>
        <w:spacing w:after="60"/>
      </w:pPr>
      <w:r>
        <w:t xml:space="preserve">CEKAL — certification des vitrages isolants posés</w:t>
      </w:r>
    </w:p>
    <w:p>
      <w:pPr>
        <w:pStyle w:val="ListParagraph"/>
        <w:numPr>
          <w:ilvl w:val="0"/>
          <w:numId w:val="1"/>
        </w:numPr>
        <w:spacing w:after="60"/>
      </w:pPr>
      <w:r>
        <w:t xml:space="preserve">Décennale — attestation d'assurance en cours de validité</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(BTS Enveloppe/Bois) — Relevés, commandes, planning, interface MOE</w:t>
      </w:r>
    </w:p>
    <w:p>
      <w:pPr>
        <w:pStyle w:val="ListParagraph"/>
        <w:numPr>
          <w:ilvl w:val="0"/>
          <w:numId w:val="1"/>
        </w:numPr>
        <w:spacing w:after="60"/>
      </w:pPr>
      <w:r>
        <w:t xml:space="preserve">Chef d'équipe poseur (N4, SST, R486) — Encadrement, implantation, autocontrôles</w:t>
      </w:r>
    </w:p>
    <w:p>
      <w:pPr>
        <w:pStyle w:val="ListParagraph"/>
        <w:numPr>
          <w:ilvl w:val="0"/>
          <w:numId w:val="1"/>
        </w:numPr>
        <w:spacing w:after="60"/>
      </w:pPr>
      <w:r>
        <w:t xml:space="preserve">Menuisiers poseurs (N3) — Dépose, pose, calfeutrement, réglages</w:t>
      </w:r>
    </w:p>
    <w:p>
      <w:pPr>
        <w:pStyle w:val="ListParagraph"/>
        <w:numPr>
          <w:ilvl w:val="0"/>
          <w:numId w:val="1"/>
        </w:numPr>
        <w:spacing w:after="60"/>
      </w:pPr>
      <w:r>
        <w:t xml:space="preserve">Aide-poseur (N2) — Manutention, protection, finitions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Relevés et pose</w:t>
      </w:r>
    </w:p>
    <w:p>
      <w:pPr>
        <w:pStyle w:val="ListParagraph"/>
        <w:numPr>
          <w:ilvl w:val="0"/>
          <w:numId w:val="1"/>
        </w:numPr>
        <w:spacing w:after="60"/>
      </w:pPr>
      <w:r>
        <w:t xml:space="preserve">Télémètres laser et niveaux électroniques</w:t>
      </w:r>
    </w:p>
    <w:p>
      <w:pPr>
        <w:pStyle w:val="ListParagraph"/>
        <w:numPr>
          <w:ilvl w:val="0"/>
          <w:numId w:val="1"/>
        </w:numPr>
        <w:spacing w:after="60"/>
      </w:pPr>
      <w:r>
        <w:t xml:space="preserve">Ventouses de manutention pour vitrages et cadres</w:t>
      </w:r>
    </w:p>
    <w:p>
      <w:pPr>
        <w:pStyle w:val="ListParagraph"/>
        <w:numPr>
          <w:ilvl w:val="0"/>
          <w:numId w:val="1"/>
        </w:numPr>
        <w:spacing w:after="60"/>
      </w:pPr>
      <w:r>
        <w:t xml:space="preserve">Visserie et pattes de fixation adaptées aux supports</w:t>
      </w:r>
    </w:p>
    <w:p>
      <w:pPr>
        <w:spacing w:after="60" w:before="120"/>
      </w:pPr>
      <w:r>
        <w:rPr>
          <w:b/>
          <w:bCs/>
        </w:rPr>
        <w:t xml:space="preserve">Calfeutrement et étanchéité</w:t>
      </w:r>
    </w:p>
    <w:p>
      <w:pPr>
        <w:pStyle w:val="ListParagraph"/>
        <w:numPr>
          <w:ilvl w:val="0"/>
          <w:numId w:val="1"/>
        </w:numPr>
        <w:spacing w:after="60"/>
      </w:pPr>
      <w:r>
        <w:t xml:space="preserve">Mousses imprégnées et membranes d'étanchéité à l'air</w:t>
      </w:r>
    </w:p>
    <w:p>
      <w:pPr>
        <w:pStyle w:val="ListParagraph"/>
        <w:numPr>
          <w:ilvl w:val="0"/>
          <w:numId w:val="1"/>
        </w:numPr>
        <w:spacing w:after="60"/>
      </w:pPr>
      <w:r>
        <w:t xml:space="preserve">Mastics sous label SNJF, fonds de joint</w:t>
      </w:r>
    </w:p>
    <w:p>
      <w:pPr>
        <w:pStyle w:val="ListParagraph"/>
        <w:numPr>
          <w:ilvl w:val="0"/>
          <w:numId w:val="1"/>
        </w:numPr>
        <w:spacing w:after="60"/>
      </w:pPr>
      <w:r>
        <w:t xml:space="preserve">Compribandes pour joints façade</w:t>
      </w:r>
    </w:p>
    <w:p>
      <w:pPr>
        <w:spacing w:after="60" w:before="120"/>
      </w:pPr>
      <w:r>
        <w:rPr>
          <w:b/>
          <w:bCs/>
        </w:rPr>
        <w:t xml:space="preserve">Accès et manutention</w:t>
      </w:r>
    </w:p>
    <w:p>
      <w:pPr>
        <w:pStyle w:val="ListParagraph"/>
        <w:numPr>
          <w:ilvl w:val="0"/>
          <w:numId w:val="1"/>
        </w:numPr>
        <w:spacing w:after="60"/>
      </w:pPr>
      <w:r>
        <w:t xml:space="preserve">Nacelles (CACES R486) et échafaudages pour étages</w:t>
      </w:r>
    </w:p>
    <w:p>
      <w:pPr>
        <w:pStyle w:val="ListParagraph"/>
        <w:numPr>
          <w:ilvl w:val="0"/>
          <w:numId w:val="1"/>
        </w:numPr>
        <w:spacing w:after="60"/>
      </w:pPr>
      <w:r>
        <w:t xml:space="preserve">Monte-charges à ventouses pour châssis lourds</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Études, relevés et approvisionnement</w:t>
      </w:r>
    </w:p>
    <w:p>
      <w:pPr>
        <w:spacing w:after="160"/>
      </w:pPr>
      <w:r>
        <w:rPr>
          <w:i/>
          <w:iCs/>
          <w:color w:val="555555"/>
          <w:sz w:val="20"/>
          <w:szCs w:val="20"/>
        </w:rPr>
        <w:t xml:space="preserve">Relevés de cotes contradictoires sur chaque baie, calepinage et plans de détail soumis au visa, validation des fiches techniques (classement AEV, Uw, acoustique) et lancement en fabrication en intégrant les délais d'approvisionnement au planning général.</w:t>
      </w:r>
    </w:p>
    <w:p>
      <w:pPr>
        <w:spacing w:after="320"/>
      </w:pPr>
      <w:r>
        <w:rPr>
          <w:color w:val="888888"/>
          <w:sz w:val="22"/>
          <w:szCs w:val="22"/>
        </w:rPr>
        <w:t xml:space="preserve">[Adaptez au chantier : quantités, cadences, points singuliers]</w:t>
      </w:r>
    </w:p>
    <w:p>
      <w:pPr>
        <w:pStyle w:val="Heading2"/>
        <w:spacing w:after="80" w:before="200"/>
      </w:pPr>
      <w:r>
        <w:t xml:space="preserve">Dépose des menuiseries existantes (rénovation)</w:t>
      </w:r>
    </w:p>
    <w:p>
      <w:pPr>
        <w:spacing w:after="160"/>
      </w:pPr>
      <w:r>
        <w:rPr>
          <w:i/>
          <w:iCs/>
          <w:color w:val="555555"/>
          <w:sz w:val="20"/>
          <w:szCs w:val="20"/>
        </w:rPr>
        <w:t xml:space="preserve">Protection des locaux et des abords, dépose soignée sans dégradation des tableaux, tri des menuiseries déposées (bois, vitrages, métaux) vers les filières de valorisation, gestion des interventions en site occupé logement par logement avec information des occupants.</w:t>
      </w:r>
    </w:p>
    <w:p>
      <w:pPr>
        <w:spacing w:after="320"/>
      </w:pPr>
      <w:r>
        <w:rPr>
          <w:color w:val="888888"/>
          <w:sz w:val="22"/>
          <w:szCs w:val="22"/>
        </w:rPr>
        <w:t xml:space="preserve">[Adaptez au chantier : quantités, cadences, points singuliers]</w:t>
      </w:r>
    </w:p>
    <w:p>
      <w:pPr>
        <w:pStyle w:val="Heading2"/>
        <w:spacing w:after="80" w:before="200"/>
      </w:pPr>
      <w:r>
        <w:t xml:space="preserve">Pose et calfeutrement</w:t>
      </w:r>
    </w:p>
    <w:p>
      <w:pPr>
        <w:spacing w:after="160"/>
      </w:pPr>
      <w:r>
        <w:rPr>
          <w:i/>
          <w:iCs/>
          <w:color w:val="555555"/>
          <w:sz w:val="20"/>
          <w:szCs w:val="20"/>
        </w:rPr>
        <w:t xml:space="preserve">Pose en applique, en tunnel ou en feuillure selon le CCTP, fixation conforme au NF DTU 36.5 (entraxes, jeux de pose), calfeutrement par mousse imprégnée et mastic SNJF assurant les barrières d'étanchéité à l'eau et à l'air, membrane d'étanchéité côté intérieur si exigée.</w:t>
      </w:r>
    </w:p>
    <w:p>
      <w:pPr>
        <w:spacing w:after="320"/>
      </w:pPr>
      <w:r>
        <w:rPr>
          <w:color w:val="888888"/>
          <w:sz w:val="22"/>
          <w:szCs w:val="22"/>
        </w:rPr>
        <w:t xml:space="preserve">[Adaptez au chantier : quantités, cadences, points singuliers]</w:t>
      </w:r>
    </w:p>
    <w:p>
      <w:pPr>
        <w:pStyle w:val="Heading2"/>
        <w:spacing w:after="80" w:before="200"/>
      </w:pPr>
      <w:r>
        <w:t xml:space="preserve">Réglages, essais et réception</w:t>
      </w:r>
    </w:p>
    <w:p>
      <w:pPr>
        <w:spacing w:after="160"/>
      </w:pPr>
      <w:r>
        <w:rPr>
          <w:i/>
          <w:iCs/>
          <w:color w:val="555555"/>
          <w:sz w:val="20"/>
          <w:szCs w:val="20"/>
        </w:rPr>
        <w:t xml:space="preserve">Réglage des ouvrants et de la quincaillerie, contrôle du fonctionnement de chaque châssis, participation au test d'étanchéité à l'air du bâtiment avec reprises éventuelles, nettoyage et pose des protections, remise du DOE avec PV AEV, marquage CE et notices d'entretien.</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36.5 — Mise en œuvre des fenêtres et portes extérieures</w:t>
      </w:r>
    </w:p>
    <w:p>
      <w:pPr>
        <w:pStyle w:val="ListParagraph"/>
        <w:numPr>
          <w:ilvl w:val="0"/>
          <w:numId w:val="1"/>
        </w:numPr>
        <w:spacing w:after="60"/>
      </w:pPr>
      <w:r>
        <w:t xml:space="preserve">NF DTU 36.2 — Menuiseries intérieures en bois</w:t>
      </w:r>
    </w:p>
    <w:p>
      <w:pPr>
        <w:pStyle w:val="ListParagraph"/>
        <w:numPr>
          <w:ilvl w:val="0"/>
          <w:numId w:val="1"/>
        </w:numPr>
        <w:spacing w:after="60"/>
      </w:pPr>
      <w:r>
        <w:t xml:space="preserve">NF EN 14351-1 — Marquage CE des fenêtres et portes extérieures</w:t>
      </w:r>
    </w:p>
    <w:p>
      <w:pPr>
        <w:pStyle w:val="ListParagraph"/>
        <w:numPr>
          <w:ilvl w:val="0"/>
          <w:numId w:val="1"/>
        </w:numPr>
        <w:spacing w:after="60"/>
      </w:pPr>
      <w:r>
        <w:t xml:space="preserve">RE2020 — Exigences d'étanchéité à l'air de l'enveloppe</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Intégrez les délais de fabrication (4 à 8 semaines) dans le planning : un phasage irréaliste décrédibilise tout le mémoire.</w:t>
      </w:r>
    </w:p>
    <w:p>
      <w:pPr>
        <w:pStyle w:val="ListParagraph"/>
        <w:numPr>
          <w:ilvl w:val="0"/>
          <w:numId w:val="1"/>
        </w:numPr>
        <w:spacing w:after="60"/>
      </w:pPr>
      <w:r>
        <w:t xml:space="preserve">Décrivez précisément le traitement de l'étanchéité à l'air (membranes, mousses, mastics) : point de contrôle RE2020 systématique.</w:t>
      </w:r>
    </w:p>
    <w:p>
      <w:pPr>
        <w:pStyle w:val="ListParagraph"/>
        <w:numPr>
          <w:ilvl w:val="0"/>
          <w:numId w:val="1"/>
        </w:numPr>
        <w:spacing w:after="60"/>
      </w:pPr>
      <w:r>
        <w:t xml:space="preserve">En rénovation occupée, détaillez la rotation par logement : dépose et repose dans la journée, nettoyage, information des occupants.</w:t>
      </w:r>
    </w:p>
    <w:p>
      <w:pPr>
        <w:pStyle w:val="ListParagraph"/>
        <w:numPr>
          <w:ilvl w:val="0"/>
          <w:numId w:val="1"/>
        </w:numPr>
        <w:spacing w:after="60"/>
      </w:pPr>
      <w:r>
        <w:t xml:space="preserve">Justifiez les performances produits (AEV, Uw, acoustique) par les PV d'essais et le marquage CE joints en annexe.</w:t>
      </w:r>
    </w:p>
    <w:p>
      <w:pPr>
        <w:pStyle w:val="ListParagraph"/>
        <w:numPr>
          <w:ilvl w:val="0"/>
          <w:numId w:val="1"/>
        </w:numPr>
        <w:spacing w:after="60"/>
      </w:pPr>
      <w:r>
        <w:t xml:space="preserve">Traitez les points singuliers : appuis, seuils PMR, coffres de volets roulants, habillages et raccords d'enduit.</w:t>
      </w:r>
    </w:p>
    <w:p>
      <w:pPr>
        <w:pStyle w:val="Heading1"/>
        <w:spacing w:after="120" w:before="320"/>
      </w:pPr>
      <w:r>
        <w:t xml:space="preserve">Annexe — exemples de formulations</w:t>
      </w:r>
    </w:p>
    <w:p>
      <w:pPr>
        <w:spacing w:after="60" w:before="160"/>
      </w:pPr>
      <w:r>
        <w:rPr>
          <w:b/>
          <w:bCs/>
        </w:rPr>
        <w:t xml:space="preserve">Pose et étanchéité</w:t>
      </w:r>
    </w:p>
    <w:p>
      <w:pPr>
        <w:spacing w:after="160"/>
      </w:pPr>
      <w:r>
        <w:rPr>
          <w:i/>
          <w:iCs/>
          <w:color w:val="555555"/>
          <w:sz w:val="20"/>
          <w:szCs w:val="20"/>
        </w:rPr>
        <w:t xml:space="preserve">Les menuiseries seront posées en applique intérieure avec fixation par pattes réglables selon le NF DTU 36.5. Le calfeutrement sera assuré par mousse imprégnée classe 1 et joint mastic élastomère sous label SNJF, complété côté intérieur par une membrane d'étanchéité à l'air marouflée sur le gros œuvre.</w:t>
      </w:r>
    </w:p>
    <w:p>
      <w:pPr>
        <w:spacing w:after="60" w:before="160"/>
      </w:pPr>
      <w:r>
        <w:rPr>
          <w:b/>
          <w:bCs/>
        </w:rPr>
        <w:t xml:space="preserve">Site occupé</w:t>
      </w:r>
    </w:p>
    <w:p>
      <w:pPr>
        <w:spacing w:after="160"/>
      </w:pPr>
      <w:r>
        <w:rPr>
          <w:i/>
          <w:iCs/>
          <w:color w:val="555555"/>
          <w:sz w:val="20"/>
          <w:szCs w:val="20"/>
        </w:rPr>
        <w:t xml:space="preserve">En site occupé, chaque logement sera traité dans la journée : protection des sols et mobiliers, dépose, pose, calfeutrement et nettoyage avant départ. Les occupants seront informés 7 jours à l'avance par affichage et avis de passage.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Menuiserie</dc:title>
  <dc:creator>BatiRedac</dc:creator>
  <dc:description>Trame de mémoire technique pour les marchés de menuiseries intérieures et extérieures : DTU 36.5, classement AEV, étanchéité à l'air, pose et réglages. Exemples et PDF gratuit.</dc:description>
  <cp:lastModifiedBy>Un-named</cp:lastModifiedBy>
  <cp:revision>1</cp:revision>
  <dcterms:created xsi:type="dcterms:W3CDTF">2026-09-01T15:00:05.053Z</dcterms:created>
  <dcterms:modified xsi:type="dcterms:W3CDTF">2026-09-01T15:00:05.053Z</dcterms:modified>
</cp:coreProperties>
</file>

<file path=docProps/custom.xml><?xml version="1.0" encoding="utf-8"?>
<Properties xmlns="http://schemas.openxmlformats.org/officeDocument/2006/custom-properties" xmlns:vt="http://schemas.openxmlformats.org/officeDocument/2006/docPropsVTypes"/>
</file>