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MÉMOIRE TECHNIQUE</w:t>
      </w:r>
    </w:p>
    <w:p>
      <w:pPr>
        <w:spacing w:after="160"/>
        <w:jc w:val="center"/>
      </w:pPr>
      <w:r>
        <w:rPr>
          <w:color w:val="888888"/>
          <w:sz w:val="28"/>
          <w:szCs w:val="28"/>
        </w:rPr>
        <w:t xml:space="preserve">Lot Maçonnerie / Gros œuvre — [Nom de l'opération / du marché]</w:t>
      </w:r>
    </w:p>
    <w:p>
      <w:pPr>
        <w:spacing w:after="480"/>
        <w:jc w:val="center"/>
      </w:pPr>
      <w:r>
        <w:rPr>
          <w:color w:val="888888"/>
          <w:sz w:val="22"/>
          <w:szCs w:val="22"/>
        </w:rPr>
        <w:t xml:space="preserve">[Nom de votre entreprise] — [SIRET] — [Lot concerné]</w:t>
      </w:r>
    </w:p>
    <w:p>
      <w:pPr>
        <w:spacing w:after="160"/>
      </w:pPr>
      <w:r>
        <w:rPr>
          <w:i/>
          <w:iCs/>
          <w:color w:val="555555"/>
          <w:sz w:val="20"/>
          <w:szCs w:val="20"/>
        </w:rPr>
        <w:t xml:space="preserve">Modèle gratuit proposé par BatiRedac (batiredac.com/modele-memoire-technique/maconnerie-gros-oeuvre). Remplacez chaque consigne par votre contenu et alignez les sections sur les critères du règlement de consultation. Supprimez cette ligne avant dépôt.</w:t>
      </w:r>
    </w:p>
    <w:p>
      <w:pPr>
        <w:pStyle w:val="Heading1"/>
        <w:spacing w:after="120" w:before="320"/>
      </w:pPr>
      <w:r>
        <w:t xml:space="preserve">1. Présentation de l'entreprise</w:t>
      </w:r>
    </w:p>
    <w:p>
      <w:pPr>
        <w:spacing w:after="160"/>
      </w:pPr>
      <w:r>
        <w:rPr>
          <w:i/>
          <w:iCs/>
          <w:color w:val="555555"/>
          <w:sz w:val="20"/>
          <w:szCs w:val="20"/>
        </w:rPr>
        <w:t xml:space="preserve">Identité, historique, effectifs, chiffre d'affaires, zone d'intervention.</w:t>
      </w:r>
    </w:p>
    <w:p>
      <w:pPr>
        <w:spacing w:after="320"/>
      </w:pPr>
      <w:r>
        <w:rPr>
          <w:color w:val="888888"/>
          <w:sz w:val="22"/>
          <w:szCs w:val="22"/>
        </w:rPr>
        <w:t xml:space="preserve">[À compléter avec les informations de votre entreprise]</w:t>
      </w:r>
    </w:p>
    <w:p>
      <w:pPr>
        <w:pStyle w:val="Heading1"/>
        <w:spacing w:after="120" w:before="320"/>
      </w:pPr>
      <w:r>
        <w:t xml:space="preserve">2. Qualifications et assurances</w:t>
      </w:r>
    </w:p>
    <w:p>
      <w:pPr>
        <w:spacing w:after="160"/>
      </w:pPr>
      <w:r>
        <w:rPr>
          <w:i/>
          <w:iCs/>
          <w:color w:val="555555"/>
          <w:sz w:val="20"/>
          <w:szCs w:val="20"/>
        </w:rPr>
        <w:t xml:space="preserve">Qualifications attendues sur ce type de lot (joindre les certificats en cours de validité) :</w:t>
      </w:r>
    </w:p>
    <w:p>
      <w:pPr>
        <w:pStyle w:val="ListParagraph"/>
        <w:numPr>
          <w:ilvl w:val="0"/>
          <w:numId w:val="1"/>
        </w:numPr>
        <w:spacing w:after="60"/>
      </w:pPr>
      <w:r>
        <w:t xml:space="preserve">Qualibat 2111/2112 — Maçonnerie — technicité courante/confirmée</w:t>
      </w:r>
    </w:p>
    <w:p>
      <w:pPr>
        <w:pStyle w:val="ListParagraph"/>
        <w:numPr>
          <w:ilvl w:val="0"/>
          <w:numId w:val="1"/>
        </w:numPr>
        <w:spacing w:after="60"/>
      </w:pPr>
      <w:r>
        <w:t xml:space="preserve">Qualibat 2131 — Béton armé — travaux courants</w:t>
      </w:r>
    </w:p>
    <w:p>
      <w:pPr>
        <w:pStyle w:val="ListParagraph"/>
        <w:numPr>
          <w:ilvl w:val="0"/>
          <w:numId w:val="1"/>
        </w:numPr>
        <w:spacing w:after="60"/>
      </w:pPr>
      <w:r>
        <w:t xml:space="preserve">CACES R482/R483 — engins de chantier et grues mobiles</w:t>
      </w:r>
    </w:p>
    <w:p>
      <w:pPr>
        <w:pStyle w:val="ListParagraph"/>
        <w:numPr>
          <w:ilvl w:val="0"/>
          <w:numId w:val="1"/>
        </w:numPr>
        <w:spacing w:after="60"/>
      </w:pPr>
      <w:r>
        <w:t xml:space="preserve">Décennale — attestation d'assurance en cours de validité</w:t>
      </w:r>
    </w:p>
    <w:p>
      <w:pPr>
        <w:spacing w:after="320"/>
      </w:pPr>
      <w:r>
        <w:rPr>
          <w:color w:val="888888"/>
          <w:sz w:val="22"/>
          <w:szCs w:val="22"/>
        </w:rPr>
        <w:t xml:space="preserve">[Références de vos certificats et attestations d'assurance]</w:t>
      </w:r>
    </w:p>
    <w:p>
      <w:pPr>
        <w:pStyle w:val="Heading1"/>
        <w:spacing w:after="120" w:before="320"/>
      </w:pPr>
      <w:r>
        <w:t xml:space="preserve">3. Compréhension du projet et des enjeux</w:t>
      </w:r>
    </w:p>
    <w:p>
      <w:pPr>
        <w:spacing w:after="160"/>
      </w:pPr>
      <w:r>
        <w:rPr>
          <w:i/>
          <w:iCs/>
          <w:color w:val="555555"/>
          <w:sz w:val="20"/>
          <w:szCs w:val="20"/>
        </w:rPr>
        <w:t xml:space="preserve">Reformulez le contexte du marché et identifiez 3 à 5 enjeux issus du CCTP.</w:t>
      </w:r>
    </w:p>
    <w:p>
      <w:pPr>
        <w:spacing w:after="320"/>
      </w:pPr>
      <w:r>
        <w:rPr>
          <w:color w:val="888888"/>
          <w:sz w:val="22"/>
          <w:szCs w:val="22"/>
        </w:rPr>
        <w:t xml:space="preserve">[À compléter avec les informations de votre entreprise]</w:t>
      </w:r>
    </w:p>
    <w:p>
      <w:pPr>
        <w:pStyle w:val="Heading1"/>
        <w:spacing w:after="120" w:before="320"/>
      </w:pPr>
      <w:r>
        <w:t xml:space="preserve">4. Moyens humains affectés</w:t>
      </w:r>
    </w:p>
    <w:p>
      <w:pPr>
        <w:spacing w:after="160"/>
      </w:pPr>
      <w:r>
        <w:rPr>
          <w:i/>
          <w:iCs/>
          <w:color w:val="555555"/>
          <w:sz w:val="20"/>
          <w:szCs w:val="20"/>
        </w:rPr>
        <w:t xml:space="preserve">Effectif dédié, qualifications et rôle de chacun. Trame type pour ce métier :</w:t>
      </w:r>
    </w:p>
    <w:p>
      <w:pPr>
        <w:pStyle w:val="ListParagraph"/>
        <w:numPr>
          <w:ilvl w:val="0"/>
          <w:numId w:val="1"/>
        </w:numPr>
        <w:spacing w:after="60"/>
      </w:pPr>
      <w:r>
        <w:t xml:space="preserve">Conducteur de travaux (Ingénieur/BTS Bâtiment) — Planning, synthèse, interface MOE et BET structure</w:t>
      </w:r>
    </w:p>
    <w:p>
      <w:pPr>
        <w:pStyle w:val="ListParagraph"/>
        <w:numPr>
          <w:ilvl w:val="0"/>
          <w:numId w:val="1"/>
        </w:numPr>
        <w:spacing w:after="60"/>
      </w:pPr>
      <w:r>
        <w:t xml:space="preserve">Chef de chantier (N4, SST, R408) — Implantation, encadrement, sécurité, autocontrôles</w:t>
      </w:r>
    </w:p>
    <w:p>
      <w:pPr>
        <w:pStyle w:val="ListParagraph"/>
        <w:numPr>
          <w:ilvl w:val="0"/>
          <w:numId w:val="1"/>
        </w:numPr>
        <w:spacing w:after="60"/>
      </w:pPr>
      <w:r>
        <w:t xml:space="preserve">Maçons coffreurs-bancheurs (N3) — Coffrages, ferraillage, coulage, élévations</w:t>
      </w:r>
    </w:p>
    <w:p>
      <w:pPr>
        <w:pStyle w:val="ListParagraph"/>
        <w:numPr>
          <w:ilvl w:val="0"/>
          <w:numId w:val="1"/>
        </w:numPr>
        <w:spacing w:after="60"/>
      </w:pPr>
      <w:r>
        <w:t xml:space="preserve">Grutier / conducteur d'engins (CACES R482-R483) — Levage, terrassements, approvisionnements</w:t>
      </w:r>
    </w:p>
    <w:p>
      <w:pPr>
        <w:spacing w:after="320"/>
      </w:pPr>
      <w:r>
        <w:rPr>
          <w:color w:val="888888"/>
          <w:sz w:val="22"/>
          <w:szCs w:val="22"/>
        </w:rPr>
        <w:t xml:space="preserve">[Nom, ancienneté et disponibilité de chaque intervenant]</w:t>
      </w:r>
    </w:p>
    <w:p>
      <w:pPr>
        <w:pStyle w:val="Heading1"/>
        <w:spacing w:after="120" w:before="320"/>
      </w:pPr>
      <w:r>
        <w:t xml:space="preserve">5. Moyens matériels dédiés</w:t>
      </w:r>
    </w:p>
    <w:p>
      <w:pPr>
        <w:spacing w:after="160"/>
      </w:pPr>
      <w:r>
        <w:rPr>
          <w:i/>
          <w:iCs/>
          <w:color w:val="555555"/>
          <w:sz w:val="20"/>
          <w:szCs w:val="20"/>
        </w:rPr>
        <w:t xml:space="preserve">Matériel affecté au chantier, en propre ou en location, et matériel de secours.</w:t>
      </w:r>
    </w:p>
    <w:p>
      <w:pPr>
        <w:spacing w:after="60" w:before="120"/>
      </w:pPr>
      <w:r>
        <w:rPr>
          <w:b/>
          <w:bCs/>
        </w:rPr>
        <w:t xml:space="preserve">Coffrage et bétonnage</w:t>
      </w:r>
    </w:p>
    <w:p>
      <w:pPr>
        <w:pStyle w:val="ListParagraph"/>
        <w:numPr>
          <w:ilvl w:val="0"/>
          <w:numId w:val="1"/>
        </w:numPr>
        <w:spacing w:after="60"/>
      </w:pPr>
      <w:r>
        <w:t xml:space="preserve">Banches métalliques avec stabilisateurs anti-renversement</w:t>
      </w:r>
    </w:p>
    <w:p>
      <w:pPr>
        <w:pStyle w:val="ListParagraph"/>
        <w:numPr>
          <w:ilvl w:val="0"/>
          <w:numId w:val="1"/>
        </w:numPr>
        <w:spacing w:after="60"/>
      </w:pPr>
      <w:r>
        <w:t xml:space="preserve">Étais, tours d'étaiement, aiguilles vibrantes</w:t>
      </w:r>
    </w:p>
    <w:p>
      <w:pPr>
        <w:pStyle w:val="ListParagraph"/>
        <w:numPr>
          <w:ilvl w:val="0"/>
          <w:numId w:val="1"/>
        </w:numPr>
        <w:spacing w:after="60"/>
      </w:pPr>
      <w:r>
        <w:t xml:space="preserve">Bennes à béton, règles vibrantes pour dallages</w:t>
      </w:r>
    </w:p>
    <w:p>
      <w:pPr>
        <w:spacing w:after="60" w:before="120"/>
      </w:pPr>
      <w:r>
        <w:rPr>
          <w:b/>
          <w:bCs/>
        </w:rPr>
        <w:t xml:space="preserve">Levage et terrassement</w:t>
      </w:r>
    </w:p>
    <w:p>
      <w:pPr>
        <w:pStyle w:val="ListParagraph"/>
        <w:numPr>
          <w:ilvl w:val="0"/>
          <w:numId w:val="1"/>
        </w:numPr>
        <w:spacing w:after="60"/>
      </w:pPr>
      <w:r>
        <w:t xml:space="preserve">Grue mobile ou grue à tour selon phasage (avec examen d'adéquation)</w:t>
      </w:r>
    </w:p>
    <w:p>
      <w:pPr>
        <w:pStyle w:val="ListParagraph"/>
        <w:numPr>
          <w:ilvl w:val="0"/>
          <w:numId w:val="1"/>
        </w:numPr>
        <w:spacing w:after="60"/>
      </w:pPr>
      <w:r>
        <w:t xml:space="preserve">Pelle mécanique, mini-pelle, dumper</w:t>
      </w:r>
    </w:p>
    <w:p>
      <w:pPr>
        <w:pStyle w:val="ListParagraph"/>
        <w:numPr>
          <w:ilvl w:val="0"/>
          <w:numId w:val="1"/>
        </w:numPr>
        <w:spacing w:after="60"/>
      </w:pPr>
      <w:r>
        <w:t xml:space="preserve">Blindage de fouilles (caissons ou coulissant)</w:t>
      </w:r>
    </w:p>
    <w:p>
      <w:pPr>
        <w:spacing w:after="60" w:before="120"/>
      </w:pPr>
      <w:r>
        <w:rPr>
          <w:b/>
          <w:bCs/>
        </w:rPr>
        <w:t xml:space="preserve">Topographie et contrôle</w:t>
      </w:r>
    </w:p>
    <w:p>
      <w:pPr>
        <w:pStyle w:val="ListParagraph"/>
        <w:numPr>
          <w:ilvl w:val="0"/>
          <w:numId w:val="1"/>
        </w:numPr>
        <w:spacing w:after="60"/>
      </w:pPr>
      <w:r>
        <w:t xml:space="preserve">Station totale et niveau laser pour implantation</w:t>
      </w:r>
    </w:p>
    <w:p>
      <w:pPr>
        <w:pStyle w:val="ListParagraph"/>
        <w:numPr>
          <w:ilvl w:val="0"/>
          <w:numId w:val="1"/>
        </w:numPr>
        <w:spacing w:after="60"/>
      </w:pPr>
      <w:r>
        <w:t xml:space="preserve">Éprouvettes béton, scléromètre, thermomètre béton</w:t>
      </w:r>
    </w:p>
    <w:p>
      <w:pPr>
        <w:spacing w:after="320"/>
      </w:pPr>
      <w:r>
        <w:rPr>
          <w:color w:val="888888"/>
          <w:sz w:val="22"/>
          <w:szCs w:val="22"/>
        </w:rPr>
        <w:t xml:space="preserve">[Complétez avec vos matériels réellement mobilisés]</w:t>
      </w:r>
    </w:p>
    <w:p>
      <w:pPr>
        <w:pStyle w:val="Heading1"/>
        <w:spacing w:after="120" w:before="320"/>
      </w:pPr>
      <w:r>
        <w:t xml:space="preserve">6. Méthodologie d'exécution détaillée</w:t>
      </w:r>
    </w:p>
    <w:p>
      <w:pPr>
        <w:spacing w:after="160"/>
      </w:pPr>
      <w:r>
        <w:rPr>
          <w:i/>
          <w:iCs/>
          <w:color w:val="555555"/>
          <w:sz w:val="20"/>
          <w:szCs w:val="20"/>
        </w:rPr>
        <w:t xml:space="preserve">Section la plus notée : comment vous exécutez concrètement les travaux du CCTP.</w:t>
      </w:r>
    </w:p>
    <w:p>
      <w:pPr>
        <w:pStyle w:val="Heading2"/>
        <w:spacing w:after="80" w:before="200"/>
      </w:pPr>
      <w:r>
        <w:t xml:space="preserve">Installation et implantation</w:t>
      </w:r>
    </w:p>
    <w:p>
      <w:pPr>
        <w:spacing w:after="160"/>
      </w:pPr>
      <w:r>
        <w:rPr>
          <w:i/>
          <w:iCs/>
          <w:color w:val="555555"/>
          <w:sz w:val="20"/>
          <w:szCs w:val="20"/>
        </w:rPr>
        <w:t xml:space="preserve">Installation de chantier conforme au plan (clôtures, base vie, aires de stockage et de lavage), implantation des ouvrages par géomètre avec piquetage principal, traçage des axes et contrôle contradictoire avant terrassements.</w:t>
      </w:r>
    </w:p>
    <w:p>
      <w:pPr>
        <w:spacing w:after="320"/>
      </w:pPr>
      <w:r>
        <w:rPr>
          <w:color w:val="888888"/>
          <w:sz w:val="22"/>
          <w:szCs w:val="22"/>
        </w:rPr>
        <w:t xml:space="preserve">[Adaptez au chantier : quantités, cadences, points singuliers]</w:t>
      </w:r>
    </w:p>
    <w:p>
      <w:pPr>
        <w:pStyle w:val="Heading2"/>
        <w:spacing w:after="80" w:before="200"/>
      </w:pPr>
      <w:r>
        <w:t xml:space="preserve">Terrassements et fondations</w:t>
      </w:r>
    </w:p>
    <w:p>
      <w:pPr>
        <w:spacing w:after="160"/>
      </w:pPr>
      <w:r>
        <w:rPr>
          <w:i/>
          <w:iCs/>
          <w:color w:val="555555"/>
          <w:sz w:val="20"/>
          <w:szCs w:val="20"/>
        </w:rPr>
        <w:t xml:space="preserve">Terrassements par pelle mécanique avec évacuation ou réemploi selon SOGED, blindage ou talutage des fouilles de plus de 1,30 m, réception des fonds de fouille par le bureau d'études géotechnique, coulage des fondations avec enrobage des aciers contrôlé avant bétonnage.</w:t>
      </w:r>
    </w:p>
    <w:p>
      <w:pPr>
        <w:spacing w:after="320"/>
      </w:pPr>
      <w:r>
        <w:rPr>
          <w:color w:val="888888"/>
          <w:sz w:val="22"/>
          <w:szCs w:val="22"/>
        </w:rPr>
        <w:t xml:space="preserve">[Adaptez au chantier : quantités, cadences, points singuliers]</w:t>
      </w:r>
    </w:p>
    <w:p>
      <w:pPr>
        <w:pStyle w:val="Heading2"/>
        <w:spacing w:after="80" w:before="200"/>
      </w:pPr>
      <w:r>
        <w:t xml:space="preserve">Élévations et planchers</w:t>
      </w:r>
    </w:p>
    <w:p>
      <w:pPr>
        <w:spacing w:after="160"/>
      </w:pPr>
      <w:r>
        <w:rPr>
          <w:i/>
          <w:iCs/>
          <w:color w:val="555555"/>
          <w:sz w:val="20"/>
          <w:szCs w:val="20"/>
        </w:rPr>
        <w:t xml:space="preserve">Élévations en maçonnerie (aplomb et alignement contrôlés à chaque levée, chaînages horizontaux et verticaux conformes au DTU 20.1) ou voiles béton banché, pose des planchers avec étaiement conservé selon les délais de décoffrage, réservations posées avant coulage en synthèse avec les autres lots.</w:t>
      </w:r>
    </w:p>
    <w:p>
      <w:pPr>
        <w:spacing w:after="320"/>
      </w:pPr>
      <w:r>
        <w:rPr>
          <w:color w:val="888888"/>
          <w:sz w:val="22"/>
          <w:szCs w:val="22"/>
        </w:rPr>
        <w:t xml:space="preserve">[Adaptez au chantier : quantités, cadences, points singuliers]</w:t>
      </w:r>
    </w:p>
    <w:p>
      <w:pPr>
        <w:pStyle w:val="Heading2"/>
        <w:spacing w:after="80" w:before="200"/>
      </w:pPr>
      <w:r>
        <w:t xml:space="preserve">Contrôles et réception</w:t>
      </w:r>
    </w:p>
    <w:p>
      <w:pPr>
        <w:spacing w:after="160"/>
      </w:pPr>
      <w:r>
        <w:rPr>
          <w:i/>
          <w:iCs/>
          <w:color w:val="555555"/>
          <w:sz w:val="20"/>
          <w:szCs w:val="20"/>
        </w:rPr>
        <w:t xml:space="preserve">Éprouvettes béton à chaque coulage significatif (essais à 28 jours), autocontrôles dimensionnels (implantation, aplombs, niveaux, planéité), cure du béton par temps chaud ou venté, levée des réserves et remise du dossier avec PV d'essais et plans conformes à exécution.</w:t>
      </w:r>
    </w:p>
    <w:p>
      <w:pPr>
        <w:spacing w:after="320"/>
      </w:pPr>
      <w:r>
        <w:rPr>
          <w:color w:val="888888"/>
          <w:sz w:val="22"/>
          <w:szCs w:val="22"/>
        </w:rPr>
        <w:t xml:space="preserve">[Adaptez au chantier : quantités, cadences, points singuliers]</w:t>
      </w:r>
    </w:p>
    <w:p>
      <w:pPr>
        <w:pStyle w:val="Heading1"/>
        <w:spacing w:after="120" w:before="320"/>
      </w:pPr>
      <w:r>
        <w:t xml:space="preserve">7. Normes et textes de référence</w:t>
      </w:r>
    </w:p>
    <w:p>
      <w:pPr>
        <w:pStyle w:val="ListParagraph"/>
        <w:numPr>
          <w:ilvl w:val="0"/>
          <w:numId w:val="1"/>
        </w:numPr>
        <w:spacing w:after="60"/>
      </w:pPr>
      <w:r>
        <w:t xml:space="preserve">NF DTU 20.1 — Ouvrages en maçonnerie de petits éléments</w:t>
      </w:r>
    </w:p>
    <w:p>
      <w:pPr>
        <w:pStyle w:val="ListParagraph"/>
        <w:numPr>
          <w:ilvl w:val="0"/>
          <w:numId w:val="1"/>
        </w:numPr>
        <w:spacing w:after="60"/>
      </w:pPr>
      <w:r>
        <w:t xml:space="preserve">NF DTU 21 — Exécution des ouvrages en béton</w:t>
      </w:r>
    </w:p>
    <w:p>
      <w:pPr>
        <w:pStyle w:val="ListParagraph"/>
        <w:numPr>
          <w:ilvl w:val="0"/>
          <w:numId w:val="1"/>
        </w:numPr>
        <w:spacing w:after="60"/>
      </w:pPr>
      <w:r>
        <w:t xml:space="preserve">NF DTU 13.3 — Dallages — conception et exécution</w:t>
      </w:r>
    </w:p>
    <w:p>
      <w:pPr>
        <w:pStyle w:val="ListParagraph"/>
        <w:numPr>
          <w:ilvl w:val="0"/>
          <w:numId w:val="1"/>
        </w:numPr>
        <w:spacing w:after="60"/>
      </w:pPr>
      <w:r>
        <w:t xml:space="preserve">Eurocode 2 — Calcul des structures en béton</w:t>
      </w:r>
    </w:p>
    <w:p>
      <w:pPr>
        <w:spacing w:after="320"/>
      </w:pPr>
      <w:r>
        <w:rPr>
          <w:color w:val="888888"/>
          <w:sz w:val="22"/>
          <w:szCs w:val="22"/>
        </w:rPr>
        <w:t xml:space="preserve">[Ajoutez les normes citées par le CCTP]</w:t>
      </w:r>
    </w:p>
    <w:p>
      <w:pPr>
        <w:pStyle w:val="Heading1"/>
        <w:spacing w:after="120" w:before="320"/>
      </w:pPr>
      <w:r>
        <w:t xml:space="preserve">8. Planning prévisionnel et gestion des délais</w:t>
      </w:r>
    </w:p>
    <w:p>
      <w:pPr>
        <w:spacing w:after="160"/>
      </w:pPr>
      <w:r>
        <w:rPr>
          <w:i/>
          <w:iCs/>
          <w:color w:val="555555"/>
          <w:sz w:val="20"/>
          <w:szCs w:val="20"/>
        </w:rPr>
        <w:t xml:space="preserve">Phasage, jalons contractuels, marges, gestion des aléas et des intempéries.</w:t>
      </w:r>
    </w:p>
    <w:p>
      <w:pPr>
        <w:spacing w:after="320"/>
      </w:pPr>
      <w:r>
        <w:rPr>
          <w:color w:val="888888"/>
          <w:sz w:val="22"/>
          <w:szCs w:val="22"/>
        </w:rPr>
        <w:t xml:space="preserve">[À compléter avec les informations de votre entreprise]</w:t>
      </w:r>
    </w:p>
    <w:p>
      <w:pPr>
        <w:pStyle w:val="Heading1"/>
        <w:spacing w:after="120" w:before="320"/>
      </w:pPr>
      <w:r>
        <w:t xml:space="preserve">9. Démarche qualité et contrôles</w:t>
      </w:r>
    </w:p>
    <w:p>
      <w:pPr>
        <w:spacing w:after="160"/>
      </w:pPr>
      <w:r>
        <w:rPr>
          <w:i/>
          <w:iCs/>
          <w:color w:val="555555"/>
          <w:sz w:val="20"/>
          <w:szCs w:val="20"/>
        </w:rPr>
        <w:t xml:space="preserve">Autocontrôles, points d'arrêt, traitement des non-conformités, documents de suivi.</w:t>
      </w:r>
    </w:p>
    <w:p>
      <w:pPr>
        <w:spacing w:after="320"/>
      </w:pPr>
      <w:r>
        <w:rPr>
          <w:color w:val="888888"/>
          <w:sz w:val="22"/>
          <w:szCs w:val="22"/>
        </w:rPr>
        <w:t xml:space="preserve">[À compléter avec les informations de votre entreprise]</w:t>
      </w:r>
    </w:p>
    <w:p>
      <w:pPr>
        <w:pStyle w:val="Heading1"/>
        <w:spacing w:after="120" w:before="320"/>
      </w:pPr>
      <w:r>
        <w:t xml:space="preserve">10. Hygiène, sécurité et prévention</w:t>
      </w:r>
    </w:p>
    <w:p>
      <w:pPr>
        <w:spacing w:after="160"/>
      </w:pPr>
      <w:r>
        <w:rPr>
          <w:i/>
          <w:iCs/>
          <w:color w:val="555555"/>
          <w:sz w:val="20"/>
          <w:szCs w:val="20"/>
        </w:rPr>
        <w:t xml:space="preserve">Analyse des risques du lot, mesures de prévention, accueil sécurité, coordination SPS.</w:t>
      </w:r>
    </w:p>
    <w:p>
      <w:pPr>
        <w:spacing w:after="320"/>
      </w:pPr>
      <w:r>
        <w:rPr>
          <w:color w:val="888888"/>
          <w:sz w:val="22"/>
          <w:szCs w:val="22"/>
        </w:rPr>
        <w:t xml:space="preserve">[À compléter avec les informations de votre entreprise]</w:t>
      </w:r>
    </w:p>
    <w:p>
      <w:pPr>
        <w:pStyle w:val="Heading1"/>
        <w:spacing w:after="120" w:before="320"/>
      </w:pPr>
      <w:r>
        <w:t xml:space="preserve">11. Démarche environnementale et gestion des déchets</w:t>
      </w:r>
    </w:p>
    <w:p>
      <w:pPr>
        <w:spacing w:after="160"/>
      </w:pPr>
      <w:r>
        <w:rPr>
          <w:i/>
          <w:iCs/>
          <w:color w:val="555555"/>
          <w:sz w:val="20"/>
          <w:szCs w:val="20"/>
        </w:rPr>
        <w:t xml:space="preserve">Tri à la source, filières de valorisation, traçabilité, réduction des nuisances.</w:t>
      </w:r>
    </w:p>
    <w:p>
      <w:pPr>
        <w:spacing w:after="320"/>
      </w:pPr>
      <w:r>
        <w:rPr>
          <w:color w:val="888888"/>
          <w:sz w:val="22"/>
          <w:szCs w:val="22"/>
        </w:rPr>
        <w:t xml:space="preserve">[À compléter avec les informations de votre entreprise]</w:t>
      </w:r>
    </w:p>
    <w:p>
      <w:pPr>
        <w:pStyle w:val="Heading1"/>
        <w:spacing w:after="120" w:before="320"/>
      </w:pPr>
      <w:r>
        <w:t xml:space="preserve">12. Références similaires</w:t>
      </w:r>
    </w:p>
    <w:p>
      <w:pPr>
        <w:spacing w:after="160"/>
      </w:pPr>
      <w:r>
        <w:rPr>
          <w:i/>
          <w:iCs/>
          <w:color w:val="555555"/>
          <w:sz w:val="20"/>
          <w:szCs w:val="20"/>
        </w:rPr>
        <w:t xml:space="preserve">3 à 5 références réelles et comparables : client, lieu, année, montant, nature.</w:t>
      </w:r>
    </w:p>
    <w:p>
      <w:pPr>
        <w:spacing w:after="320"/>
      </w:pPr>
      <w:r>
        <w:rPr>
          <w:color w:val="888888"/>
          <w:sz w:val="22"/>
          <w:szCs w:val="22"/>
        </w:rPr>
        <w:t xml:space="preserve">[N'indiquez que des références réellement exécutées]</w:t>
      </w:r>
    </w:p>
    <w:p>
      <w:pPr>
        <w:pStyle w:val="Heading1"/>
        <w:spacing w:after="120" w:before="320"/>
      </w:pPr>
      <w:r>
        <w:t xml:space="preserve">Annexe — points de vigilance propres au lot</w:t>
      </w:r>
    </w:p>
    <w:p>
      <w:pPr>
        <w:pStyle w:val="ListParagraph"/>
        <w:numPr>
          <w:ilvl w:val="0"/>
          <w:numId w:val="1"/>
        </w:numPr>
        <w:spacing w:after="60"/>
      </w:pPr>
      <w:r>
        <w:t xml:space="preserve">Décrivez le blindage des fouilles de plus de 1,30 m et l'interdiction de travail en fond de fouille non protégé : premier point sécurité vérifié par le coordonnateur SPS.</w:t>
      </w:r>
    </w:p>
    <w:p>
      <w:pPr>
        <w:pStyle w:val="ListParagraph"/>
        <w:numPr>
          <w:ilvl w:val="0"/>
          <w:numId w:val="1"/>
        </w:numPr>
        <w:spacing w:after="60"/>
      </w:pPr>
      <w:r>
        <w:t xml:space="preserve">Précisez la procédure de stabilité des banches au vent (stabilisateurs, consigne de vitesse limite) — accidentologie majeure du gros œuvre.</w:t>
      </w:r>
    </w:p>
    <w:p>
      <w:pPr>
        <w:pStyle w:val="ListParagraph"/>
        <w:numPr>
          <w:ilvl w:val="0"/>
          <w:numId w:val="1"/>
        </w:numPr>
        <w:spacing w:after="60"/>
      </w:pPr>
      <w:r>
        <w:t xml:space="preserve">Indiquez la provenance du béton (centrale BPE avec fiches d'agrément) et la traçabilité des bons de livraison.</w:t>
      </w:r>
    </w:p>
    <w:p>
      <w:pPr>
        <w:pStyle w:val="ListParagraph"/>
        <w:numPr>
          <w:ilvl w:val="0"/>
          <w:numId w:val="1"/>
        </w:numPr>
        <w:spacing w:after="60"/>
      </w:pPr>
      <w:r>
        <w:t xml:space="preserve">Mentionnez la cure du béton et les délais de décoffrage : c'est ce qui distingue un mémoire technique sérieux d'un copier-coller.</w:t>
      </w:r>
    </w:p>
    <w:p>
      <w:pPr>
        <w:pStyle w:val="ListParagraph"/>
        <w:numPr>
          <w:ilvl w:val="0"/>
          <w:numId w:val="1"/>
        </w:numPr>
        <w:spacing w:after="60"/>
      </w:pPr>
      <w:r>
        <w:t xml:space="preserve">Intégrez la gestion des interfaces (réservations, incorporations) avec les lots techniques dans votre phasage.</w:t>
      </w:r>
    </w:p>
    <w:p>
      <w:pPr>
        <w:pStyle w:val="Heading1"/>
        <w:spacing w:after="120" w:before="320"/>
      </w:pPr>
      <w:r>
        <w:t xml:space="preserve">Annexe — exemples de formulations</w:t>
      </w:r>
    </w:p>
    <w:p>
      <w:pPr>
        <w:spacing w:after="60" w:before="160"/>
      </w:pPr>
      <w:r>
        <w:rPr>
          <w:b/>
          <w:bCs/>
        </w:rPr>
        <w:t xml:space="preserve">Sécurité des fouilles</w:t>
      </w:r>
    </w:p>
    <w:p>
      <w:pPr>
        <w:spacing w:after="160"/>
      </w:pPr>
      <w:r>
        <w:rPr>
          <w:i/>
          <w:iCs/>
          <w:color w:val="555555"/>
          <w:sz w:val="20"/>
          <w:szCs w:val="20"/>
        </w:rPr>
        <w:t xml:space="preserve">Les fouilles d'une profondeur supérieure à 1,30 m seront systématiquement blindées ou talutées selon la nature du terrain. Aucune intervention en fond de fouille ne sera autorisée hors zone protégée, conformément aux prescriptions du PGC et à notre PPSPS.</w:t>
      </w:r>
    </w:p>
    <w:p>
      <w:pPr>
        <w:spacing w:after="60" w:before="160"/>
      </w:pPr>
      <w:r>
        <w:rPr>
          <w:b/>
          <w:bCs/>
        </w:rPr>
        <w:t xml:space="preserve">Contrôle qualité béton</w:t>
      </w:r>
    </w:p>
    <w:p>
      <w:pPr>
        <w:spacing w:after="160"/>
      </w:pPr>
      <w:r>
        <w:rPr>
          <w:i/>
          <w:iCs/>
          <w:color w:val="555555"/>
          <w:sz w:val="20"/>
          <w:szCs w:val="20"/>
        </w:rPr>
        <w:t xml:space="preserve">Le béton proviendra d'une centrale BPE titulaire du droit d'usage de la marque NF. Des éprouvettes seront confectionnées à chaque phase de bétonnage significative et essayées à 28 jours par un laboratoire indépendant ; les résultats seront transmis au bureau de contrôle.</w:t>
      </w:r>
    </w:p>
    <w:p>
      <w:pPr>
        <w:spacing w:after="160"/>
      </w:pPr>
      <w:r>
        <w:rPr>
          <w:i/>
          <w:iCs/>
          <w:color w:val="555555"/>
          <w:sz w:val="20"/>
          <w:szCs w:val="20"/>
        </w:rPr>
        <w:t xml:space="preserve">Ces formulations sont des exemples à adapter : ne les déposez jamais telles quelles, un acheteur reconnaît immédiatement un texte générique.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mémoire technique Maçonnerie / Gros œuvre</dc:title>
  <dc:creator>BatiRedac</dc:creator>
  <dc:description>Trame de mémoire technique pour les marchés de maçonnerie et gros œuvre : Qualibat, DTU 20.1, fondations, élévations, sécurité des fouilles et contrôles béton. PDF gratuit.</dc:description>
  <cp:lastModifiedBy>Un-named</cp:lastModifiedBy>
  <cp:revision>1</cp:revision>
  <dcterms:created xsi:type="dcterms:W3CDTF">2026-09-01T15:00:05.010Z</dcterms:created>
  <dcterms:modified xsi:type="dcterms:W3CDTF">2026-09-01T15:00:05.010Z</dcterms:modified>
</cp:coreProperties>
</file>

<file path=docProps/custom.xml><?xml version="1.0" encoding="utf-8"?>
<Properties xmlns="http://schemas.openxmlformats.org/officeDocument/2006/custom-properties" xmlns:vt="http://schemas.openxmlformats.org/officeDocument/2006/docPropsVTypes"/>
</file>