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MÉMOIRE TECHNIQUE</w:t>
      </w:r>
    </w:p>
    <w:p>
      <w:pPr>
        <w:spacing w:after="160"/>
        <w:jc w:val="center"/>
      </w:pPr>
      <w:r>
        <w:rPr>
          <w:color w:val="888888"/>
          <w:sz w:val="28"/>
          <w:szCs w:val="28"/>
        </w:rPr>
        <w:t xml:space="preserve">Lot Étanchéité — [Nom de l'opération / du marché]</w:t>
      </w:r>
    </w:p>
    <w:p>
      <w:pPr>
        <w:spacing w:after="480"/>
        <w:jc w:val="center"/>
      </w:pPr>
      <w:r>
        <w:rPr>
          <w:color w:val="888888"/>
          <w:sz w:val="22"/>
          <w:szCs w:val="22"/>
        </w:rPr>
        <w:t xml:space="preserve">[Nom de votre entreprise] — [SIRET] — [Lot concerné]</w:t>
      </w:r>
    </w:p>
    <w:p>
      <w:pPr>
        <w:spacing w:after="160"/>
      </w:pPr>
      <w:r>
        <w:rPr>
          <w:i/>
          <w:iCs/>
          <w:color w:val="555555"/>
          <w:sz w:val="20"/>
          <w:szCs w:val="20"/>
        </w:rPr>
        <w:t xml:space="preserve">Modèle gratuit proposé par BatiRedac (batiredac.com/modele-memoire-technique/etancheite). Remplacez chaque consigne par votre contenu et alignez les sections sur les critères du règlement de consultation. Supprimez cette ligne avant dépôt.</w:t>
      </w:r>
    </w:p>
    <w:p>
      <w:pPr>
        <w:pStyle w:val="Heading1"/>
        <w:spacing w:after="120" w:before="320"/>
      </w:pPr>
      <w:r>
        <w:t xml:space="preserve">1. Présentation de l'entreprise</w:t>
      </w:r>
    </w:p>
    <w:p>
      <w:pPr>
        <w:spacing w:after="160"/>
      </w:pPr>
      <w:r>
        <w:rPr>
          <w:i/>
          <w:iCs/>
          <w:color w:val="555555"/>
          <w:sz w:val="20"/>
          <w:szCs w:val="20"/>
        </w:rPr>
        <w:t xml:space="preserve">Identité, historique, effectifs, chiffre d'affaires, zone d'intervention.</w:t>
      </w:r>
    </w:p>
    <w:p>
      <w:pPr>
        <w:spacing w:after="320"/>
      </w:pPr>
      <w:r>
        <w:rPr>
          <w:color w:val="888888"/>
          <w:sz w:val="22"/>
          <w:szCs w:val="22"/>
        </w:rPr>
        <w:t xml:space="preserve">[À compléter avec les informations de votre entreprise]</w:t>
      </w:r>
    </w:p>
    <w:p>
      <w:pPr>
        <w:pStyle w:val="Heading1"/>
        <w:spacing w:after="120" w:before="320"/>
      </w:pPr>
      <w:r>
        <w:t xml:space="preserve">2. Qualifications et assurances</w:t>
      </w:r>
    </w:p>
    <w:p>
      <w:pPr>
        <w:spacing w:after="160"/>
      </w:pPr>
      <w:r>
        <w:rPr>
          <w:i/>
          <w:iCs/>
          <w:color w:val="555555"/>
          <w:sz w:val="20"/>
          <w:szCs w:val="20"/>
        </w:rPr>
        <w:t xml:space="preserve">Qualifications attendues sur ce type de lot (joindre les certificats en cours de validité) :</w:t>
      </w:r>
    </w:p>
    <w:p>
      <w:pPr>
        <w:pStyle w:val="ListParagraph"/>
        <w:numPr>
          <w:ilvl w:val="0"/>
          <w:numId w:val="1"/>
        </w:numPr>
        <w:spacing w:after="60"/>
      </w:pPr>
      <w:r>
        <w:t xml:space="preserve">Qualibat 3212 — Étanchéité de toitures-terrasses et toitures inclinées — technicité courante</w:t>
      </w:r>
    </w:p>
    <w:p>
      <w:pPr>
        <w:pStyle w:val="ListParagraph"/>
        <w:numPr>
          <w:ilvl w:val="0"/>
          <w:numId w:val="1"/>
        </w:numPr>
        <w:spacing w:after="60"/>
      </w:pPr>
      <w:r>
        <w:t xml:space="preserve">Qualibat 3213 — Étanchéité de toitures-terrasses et toitures inclinées — technicité confirmée</w:t>
      </w:r>
    </w:p>
    <w:p>
      <w:pPr>
        <w:pStyle w:val="ListParagraph"/>
        <w:numPr>
          <w:ilvl w:val="0"/>
          <w:numId w:val="1"/>
        </w:numPr>
        <w:spacing w:after="60"/>
      </w:pPr>
      <w:r>
        <w:t xml:space="preserve">Qualibat 3222/3223 — Étanchéité de parois enterrées et cuvelages</w:t>
      </w:r>
    </w:p>
    <w:p>
      <w:pPr>
        <w:pStyle w:val="ListParagraph"/>
        <w:numPr>
          <w:ilvl w:val="0"/>
          <w:numId w:val="1"/>
        </w:numPr>
        <w:spacing w:after="60"/>
      </w:pPr>
      <w:r>
        <w:t xml:space="preserve">Décennale — attestation d'assurance spécifique étanchéité à joindre à l'offre</w:t>
      </w:r>
    </w:p>
    <w:p>
      <w:pPr>
        <w:spacing w:after="320"/>
      </w:pPr>
      <w:r>
        <w:rPr>
          <w:color w:val="888888"/>
          <w:sz w:val="22"/>
          <w:szCs w:val="22"/>
        </w:rPr>
        <w:t xml:space="preserve">[Références de vos certificats et attestations d'assurance]</w:t>
      </w:r>
    </w:p>
    <w:p>
      <w:pPr>
        <w:pStyle w:val="Heading1"/>
        <w:spacing w:after="120" w:before="320"/>
      </w:pPr>
      <w:r>
        <w:t xml:space="preserve">3. Compréhension du projet et des enjeux</w:t>
      </w:r>
    </w:p>
    <w:p>
      <w:pPr>
        <w:spacing w:after="160"/>
      </w:pPr>
      <w:r>
        <w:rPr>
          <w:i/>
          <w:iCs/>
          <w:color w:val="555555"/>
          <w:sz w:val="20"/>
          <w:szCs w:val="20"/>
        </w:rPr>
        <w:t xml:space="preserve">Reformulez le contexte du marché et identifiez 3 à 5 enjeux issus du CCTP.</w:t>
      </w:r>
    </w:p>
    <w:p>
      <w:pPr>
        <w:spacing w:after="320"/>
      </w:pPr>
      <w:r>
        <w:rPr>
          <w:color w:val="888888"/>
          <w:sz w:val="22"/>
          <w:szCs w:val="22"/>
        </w:rPr>
        <w:t xml:space="preserve">[À compléter avec les informations de votre entreprise]</w:t>
      </w:r>
    </w:p>
    <w:p>
      <w:pPr>
        <w:pStyle w:val="Heading1"/>
        <w:spacing w:after="120" w:before="320"/>
      </w:pPr>
      <w:r>
        <w:t xml:space="preserve">4. Moyens humains affectés</w:t>
      </w:r>
    </w:p>
    <w:p>
      <w:pPr>
        <w:spacing w:after="160"/>
      </w:pPr>
      <w:r>
        <w:rPr>
          <w:i/>
          <w:iCs/>
          <w:color w:val="555555"/>
          <w:sz w:val="20"/>
          <w:szCs w:val="20"/>
        </w:rPr>
        <w:t xml:space="preserve">Effectif dédié, qualifications et rôle de chacun. Trame type pour ce métier :</w:t>
      </w:r>
    </w:p>
    <w:p>
      <w:pPr>
        <w:pStyle w:val="ListParagraph"/>
        <w:numPr>
          <w:ilvl w:val="0"/>
          <w:numId w:val="1"/>
        </w:numPr>
        <w:spacing w:after="60"/>
      </w:pPr>
      <w:r>
        <w:t xml:space="preserve">Conducteur de travaux (BTS Enveloppe du bâtiment, 10 ans d'expérience) — Études d'exécution, choix des systèmes, interface MOE</w:t>
      </w:r>
    </w:p>
    <w:p>
      <w:pPr>
        <w:pStyle w:val="ListParagraph"/>
        <w:numPr>
          <w:ilvl w:val="0"/>
          <w:numId w:val="1"/>
        </w:numPr>
        <w:spacing w:after="60"/>
      </w:pPr>
      <w:r>
        <w:t xml:space="preserve">Chef d'équipe étancheur (N4, CATED ou équivalent, habilitation feu) — Encadrement, contrôle des soudures, autocontrôles</w:t>
      </w:r>
    </w:p>
    <w:p>
      <w:pPr>
        <w:pStyle w:val="ListParagraph"/>
        <w:numPr>
          <w:ilvl w:val="0"/>
          <w:numId w:val="1"/>
        </w:numPr>
        <w:spacing w:after="60"/>
      </w:pPr>
      <w:r>
        <w:t xml:space="preserve">Étancheurs qualifiés (N3, habilitation travail en hauteur) — Pose du pare-vapeur, des membranes et des relevés</w:t>
      </w:r>
    </w:p>
    <w:p>
      <w:pPr>
        <w:pStyle w:val="ListParagraph"/>
        <w:numPr>
          <w:ilvl w:val="0"/>
          <w:numId w:val="1"/>
        </w:numPr>
        <w:spacing w:after="60"/>
      </w:pPr>
      <w:r>
        <w:t xml:space="preserve">Aides-étancheurs (N2) — Manutention, protection lourde, nettoyage des supports</w:t>
      </w:r>
    </w:p>
    <w:p>
      <w:pPr>
        <w:spacing w:after="320"/>
      </w:pPr>
      <w:r>
        <w:rPr>
          <w:color w:val="888888"/>
          <w:sz w:val="22"/>
          <w:szCs w:val="22"/>
        </w:rPr>
        <w:t xml:space="preserve">[Nom, ancienneté et disponibilité de chaque intervenant]</w:t>
      </w:r>
    </w:p>
    <w:p>
      <w:pPr>
        <w:pStyle w:val="Heading1"/>
        <w:spacing w:after="120" w:before="320"/>
      </w:pPr>
      <w:r>
        <w:t xml:space="preserve">5. Moyens matériels dédiés</w:t>
      </w:r>
    </w:p>
    <w:p>
      <w:pPr>
        <w:spacing w:after="160"/>
      </w:pPr>
      <w:r>
        <w:rPr>
          <w:i/>
          <w:iCs/>
          <w:color w:val="555555"/>
          <w:sz w:val="20"/>
          <w:szCs w:val="20"/>
        </w:rPr>
        <w:t xml:space="preserve">Matériel affecté au chantier, en propre ou en location, et matériel de secours.</w:t>
      </w:r>
    </w:p>
    <w:p>
      <w:pPr>
        <w:spacing w:after="60" w:before="120"/>
      </w:pPr>
      <w:r>
        <w:rPr>
          <w:b/>
          <w:bCs/>
        </w:rPr>
        <w:t xml:space="preserve">Mise en œuvre des membranes</w:t>
      </w:r>
    </w:p>
    <w:p>
      <w:pPr>
        <w:pStyle w:val="ListParagraph"/>
        <w:numPr>
          <w:ilvl w:val="0"/>
          <w:numId w:val="1"/>
        </w:numPr>
        <w:spacing w:after="60"/>
      </w:pPr>
      <w:r>
        <w:t xml:space="preserve">Chalumeaux et postes de soudage à air chaud (SBS et PVC)</w:t>
      </w:r>
    </w:p>
    <w:p>
      <w:pPr>
        <w:pStyle w:val="ListParagraph"/>
        <w:numPr>
          <w:ilvl w:val="0"/>
          <w:numId w:val="1"/>
        </w:numPr>
        <w:spacing w:after="60"/>
      </w:pPr>
      <w:r>
        <w:t xml:space="preserve">Rouleaux de marouflage, cordons de soudure de contrôle</w:t>
      </w:r>
    </w:p>
    <w:p>
      <w:pPr>
        <w:spacing w:after="60" w:before="120"/>
      </w:pPr>
      <w:r>
        <w:rPr>
          <w:b/>
          <w:bCs/>
        </w:rPr>
        <w:t xml:space="preserve">Contrôle et essais</w:t>
      </w:r>
    </w:p>
    <w:p>
      <w:pPr>
        <w:pStyle w:val="ListParagraph"/>
        <w:numPr>
          <w:ilvl w:val="0"/>
          <w:numId w:val="1"/>
        </w:numPr>
        <w:spacing w:after="60"/>
      </w:pPr>
      <w:r>
        <w:t xml:space="preserve">Aiguille de contrôle de soudure, détecteur de fuite</w:t>
      </w:r>
    </w:p>
    <w:p>
      <w:pPr>
        <w:pStyle w:val="ListParagraph"/>
        <w:numPr>
          <w:ilvl w:val="0"/>
          <w:numId w:val="1"/>
        </w:numPr>
        <w:spacing w:after="60"/>
      </w:pPr>
      <w:r>
        <w:t xml:space="preserve">Matériel d'essai d'arrosage et de mise en rétention d'eau</w:t>
      </w:r>
    </w:p>
    <w:p>
      <w:pPr>
        <w:spacing w:after="60" w:before="120"/>
      </w:pPr>
      <w:r>
        <w:rPr>
          <w:b/>
          <w:bCs/>
        </w:rPr>
        <w:t xml:space="preserve">Manutention et sécurité</w:t>
      </w:r>
    </w:p>
    <w:p>
      <w:pPr>
        <w:pStyle w:val="ListParagraph"/>
        <w:numPr>
          <w:ilvl w:val="0"/>
          <w:numId w:val="1"/>
        </w:numPr>
        <w:spacing w:after="60"/>
      </w:pPr>
      <w:r>
        <w:t xml:space="preserve">Monte-matériaux, treuils pour approvisionnement en toiture</w:t>
      </w:r>
    </w:p>
    <w:p>
      <w:pPr>
        <w:pStyle w:val="ListParagraph"/>
        <w:numPr>
          <w:ilvl w:val="0"/>
          <w:numId w:val="1"/>
        </w:numPr>
        <w:spacing w:after="60"/>
      </w:pPr>
      <w:r>
        <w:t xml:space="preserve">Ligne de vie provisoire, garde-corps et EPI antichute</w:t>
      </w:r>
    </w:p>
    <w:p>
      <w:pPr>
        <w:spacing w:after="320"/>
      </w:pPr>
      <w:r>
        <w:rPr>
          <w:color w:val="888888"/>
          <w:sz w:val="22"/>
          <w:szCs w:val="22"/>
        </w:rPr>
        <w:t xml:space="preserve">[Complétez avec vos matériels réellement mobilisés]</w:t>
      </w:r>
    </w:p>
    <w:p>
      <w:pPr>
        <w:pStyle w:val="Heading1"/>
        <w:spacing w:after="120" w:before="320"/>
      </w:pPr>
      <w:r>
        <w:t xml:space="preserve">6. Méthodologie d'exécution détaillée</w:t>
      </w:r>
    </w:p>
    <w:p>
      <w:pPr>
        <w:spacing w:after="160"/>
      </w:pPr>
      <w:r>
        <w:rPr>
          <w:i/>
          <w:iCs/>
          <w:color w:val="555555"/>
          <w:sz w:val="20"/>
          <w:szCs w:val="20"/>
        </w:rPr>
        <w:t xml:space="preserve">Section la plus notée : comment vous exécutez concrètement les travaux du CCTP.</w:t>
      </w:r>
    </w:p>
    <w:p>
      <w:pPr>
        <w:pStyle w:val="Heading2"/>
        <w:spacing w:after="80" w:before="200"/>
      </w:pPr>
      <w:r>
        <w:t xml:space="preserve">Reconnaissance du support et étude d'exécution</w:t>
      </w:r>
    </w:p>
    <w:p>
      <w:pPr>
        <w:spacing w:after="160"/>
      </w:pPr>
      <w:r>
        <w:rPr>
          <w:i/>
          <w:iCs/>
          <w:color w:val="555555"/>
          <w:sz w:val="20"/>
          <w:szCs w:val="20"/>
        </w:rPr>
        <w:t xml:space="preserve">Vérification de la pente (2 % minimum en toiture-terrasse courante), de la planéité et de l'état du support, contrôle de la compatibilité des relevés existants, plan de calepinage des lés et note de calcul de la charge admissible pour la protection lourde, soumis au visa de la maîtrise d'œuvre.</w:t>
      </w:r>
    </w:p>
    <w:p>
      <w:pPr>
        <w:spacing w:after="320"/>
      </w:pPr>
      <w:r>
        <w:rPr>
          <w:color w:val="888888"/>
          <w:sz w:val="22"/>
          <w:szCs w:val="22"/>
        </w:rPr>
        <w:t xml:space="preserve">[Adaptez au chantier : quantités, cadences, points singuliers]</w:t>
      </w:r>
    </w:p>
    <w:p>
      <w:pPr>
        <w:pStyle w:val="Heading2"/>
        <w:spacing w:after="80" w:before="200"/>
      </w:pPr>
      <w:r>
        <w:t xml:space="preserve">Pare-vapeur, isolation et étanchéité</w:t>
      </w:r>
    </w:p>
    <w:p>
      <w:pPr>
        <w:spacing w:after="160"/>
      </w:pPr>
      <w:r>
        <w:rPr>
          <w:i/>
          <w:iCs/>
          <w:color w:val="555555"/>
          <w:sz w:val="20"/>
          <w:szCs w:val="20"/>
        </w:rPr>
        <w:t xml:space="preserve">Pose du pare-vapeur adapté au taux d'hygrométrie du local, mise en œuvre de l'isolant fixé mécaniquement ou en indépendance lestée, puis pose du système d'étanchéité bicouche (soudé en plein pour le bitume SBS, soudé aux joints pour le PVC) avec recouvrements conformes au DTU en vigueur.</w:t>
      </w:r>
    </w:p>
    <w:p>
      <w:pPr>
        <w:spacing w:after="320"/>
      </w:pPr>
      <w:r>
        <w:rPr>
          <w:color w:val="888888"/>
          <w:sz w:val="22"/>
          <w:szCs w:val="22"/>
        </w:rPr>
        <w:t xml:space="preserve">[Adaptez au chantier : quantités, cadences, points singuliers]</w:t>
      </w:r>
    </w:p>
    <w:p>
      <w:pPr>
        <w:pStyle w:val="Heading2"/>
        <w:spacing w:after="80" w:before="200"/>
      </w:pPr>
      <w:r>
        <w:t xml:space="preserve">Traitement des points singuliers</w:t>
      </w:r>
    </w:p>
    <w:p>
      <w:pPr>
        <w:spacing w:after="160"/>
      </w:pPr>
      <w:r>
        <w:rPr>
          <w:i/>
          <w:iCs/>
          <w:color w:val="555555"/>
          <w:sz w:val="20"/>
          <w:szCs w:val="20"/>
        </w:rPr>
        <w:t xml:space="preserve">Relevés d'acrotères, costières, souches et pénétrations traités avec des hauteurs minimales réglementaires, renforts d'angle et bandes de solin, contrôle systématique de la continuité de l'étanchéité au droit des évacuations pluviales et des joints de dilatation.</w:t>
      </w:r>
    </w:p>
    <w:p>
      <w:pPr>
        <w:spacing w:after="320"/>
      </w:pPr>
      <w:r>
        <w:rPr>
          <w:color w:val="888888"/>
          <w:sz w:val="22"/>
          <w:szCs w:val="22"/>
        </w:rPr>
        <w:t xml:space="preserve">[Adaptez au chantier : quantités, cadences, points singuliers]</w:t>
      </w:r>
    </w:p>
    <w:p>
      <w:pPr>
        <w:pStyle w:val="Heading2"/>
        <w:spacing w:after="80" w:before="200"/>
      </w:pPr>
      <w:r>
        <w:t xml:space="preserve">Essais, protection et réception</w:t>
      </w:r>
    </w:p>
    <w:p>
      <w:pPr>
        <w:spacing w:after="160"/>
      </w:pPr>
      <w:r>
        <w:rPr>
          <w:i/>
          <w:iCs/>
          <w:color w:val="555555"/>
          <w:sz w:val="20"/>
          <w:szCs w:val="20"/>
        </w:rPr>
        <w:t xml:space="preserve">Contrôle des soudures à l'aiguille, essai d'arrosage ou mise en rétention d'eau pendant 24 à 48 heures selon le CCTP, mise en œuvre de la protection lourde (gravillons, dalles sur plots ou végétalisation), levée des réserves et remise du DOE avec fiches techniques et PV d'essais.</w:t>
      </w:r>
    </w:p>
    <w:p>
      <w:pPr>
        <w:spacing w:after="320"/>
      </w:pPr>
      <w:r>
        <w:rPr>
          <w:color w:val="888888"/>
          <w:sz w:val="22"/>
          <w:szCs w:val="22"/>
        </w:rPr>
        <w:t xml:space="preserve">[Adaptez au chantier : quantités, cadences, points singuliers]</w:t>
      </w:r>
    </w:p>
    <w:p>
      <w:pPr>
        <w:pStyle w:val="Heading1"/>
        <w:spacing w:after="120" w:before="320"/>
      </w:pPr>
      <w:r>
        <w:t xml:space="preserve">7. Normes et textes de référence</w:t>
      </w:r>
    </w:p>
    <w:p>
      <w:pPr>
        <w:pStyle w:val="ListParagraph"/>
        <w:numPr>
          <w:ilvl w:val="0"/>
          <w:numId w:val="1"/>
        </w:numPr>
        <w:spacing w:after="60"/>
      </w:pPr>
      <w:r>
        <w:t xml:space="preserve">NF DTU 43.1 — Étanchéité des toitures-terrasses et toitures inclinées avec éléments porteurs en maçonnerie</w:t>
      </w:r>
    </w:p>
    <w:p>
      <w:pPr>
        <w:pStyle w:val="ListParagraph"/>
        <w:numPr>
          <w:ilvl w:val="0"/>
          <w:numId w:val="1"/>
        </w:numPr>
        <w:spacing w:after="60"/>
      </w:pPr>
      <w:r>
        <w:t xml:space="preserve">NF DTU 43.3 — Toitures en climat de montagne et toitures-jardins</w:t>
      </w:r>
    </w:p>
    <w:p>
      <w:pPr>
        <w:pStyle w:val="ListParagraph"/>
        <w:numPr>
          <w:ilvl w:val="0"/>
          <w:numId w:val="1"/>
        </w:numPr>
        <w:spacing w:after="60"/>
      </w:pPr>
      <w:r>
        <w:t xml:space="preserve">NF DTU 43.5 — Étanchéité des toitures-terrasses avec isolation thermique inversée</w:t>
      </w:r>
    </w:p>
    <w:p>
      <w:pPr>
        <w:pStyle w:val="ListParagraph"/>
        <w:numPr>
          <w:ilvl w:val="0"/>
          <w:numId w:val="1"/>
        </w:numPr>
        <w:spacing w:after="60"/>
      </w:pPr>
      <w:r>
        <w:t xml:space="preserve">NF DTU 20.12 — Gros œuvre en maçonnerie des ouvrages de superstructure — étanchéité</w:t>
      </w:r>
    </w:p>
    <w:p>
      <w:pPr>
        <w:spacing w:after="320"/>
      </w:pPr>
      <w:r>
        <w:rPr>
          <w:color w:val="888888"/>
          <w:sz w:val="22"/>
          <w:szCs w:val="22"/>
        </w:rPr>
        <w:t xml:space="preserve">[Ajoutez les normes citées par le CCTP]</w:t>
      </w:r>
    </w:p>
    <w:p>
      <w:pPr>
        <w:pStyle w:val="Heading1"/>
        <w:spacing w:after="120" w:before="320"/>
      </w:pPr>
      <w:r>
        <w:t xml:space="preserve">8. Planning prévisionnel et gestion des délais</w:t>
      </w:r>
    </w:p>
    <w:p>
      <w:pPr>
        <w:spacing w:after="160"/>
      </w:pPr>
      <w:r>
        <w:rPr>
          <w:i/>
          <w:iCs/>
          <w:color w:val="555555"/>
          <w:sz w:val="20"/>
          <w:szCs w:val="20"/>
        </w:rPr>
        <w:t xml:space="preserve">Phasage, jalons contractuels, marges, gestion des aléas et des intempéries.</w:t>
      </w:r>
    </w:p>
    <w:p>
      <w:pPr>
        <w:spacing w:after="320"/>
      </w:pPr>
      <w:r>
        <w:rPr>
          <w:color w:val="888888"/>
          <w:sz w:val="22"/>
          <w:szCs w:val="22"/>
        </w:rPr>
        <w:t xml:space="preserve">[À compléter avec les informations de votre entreprise]</w:t>
      </w:r>
    </w:p>
    <w:p>
      <w:pPr>
        <w:pStyle w:val="Heading1"/>
        <w:spacing w:after="120" w:before="320"/>
      </w:pPr>
      <w:r>
        <w:t xml:space="preserve">9. Démarche qualité et contrôles</w:t>
      </w:r>
    </w:p>
    <w:p>
      <w:pPr>
        <w:spacing w:after="160"/>
      </w:pPr>
      <w:r>
        <w:rPr>
          <w:i/>
          <w:iCs/>
          <w:color w:val="555555"/>
          <w:sz w:val="20"/>
          <w:szCs w:val="20"/>
        </w:rPr>
        <w:t xml:space="preserve">Autocontrôles, points d'arrêt, traitement des non-conformités, documents de suivi.</w:t>
      </w:r>
    </w:p>
    <w:p>
      <w:pPr>
        <w:spacing w:after="320"/>
      </w:pPr>
      <w:r>
        <w:rPr>
          <w:color w:val="888888"/>
          <w:sz w:val="22"/>
          <w:szCs w:val="22"/>
        </w:rPr>
        <w:t xml:space="preserve">[À compléter avec les informations de votre entreprise]</w:t>
      </w:r>
    </w:p>
    <w:p>
      <w:pPr>
        <w:pStyle w:val="Heading1"/>
        <w:spacing w:after="120" w:before="320"/>
      </w:pPr>
      <w:r>
        <w:t xml:space="preserve">10. Hygiène, sécurité et prévention</w:t>
      </w:r>
    </w:p>
    <w:p>
      <w:pPr>
        <w:spacing w:after="160"/>
      </w:pPr>
      <w:r>
        <w:rPr>
          <w:i/>
          <w:iCs/>
          <w:color w:val="555555"/>
          <w:sz w:val="20"/>
          <w:szCs w:val="20"/>
        </w:rPr>
        <w:t xml:space="preserve">Analyse des risques du lot, mesures de prévention, accueil sécurité, coordination SPS.</w:t>
      </w:r>
    </w:p>
    <w:p>
      <w:pPr>
        <w:spacing w:after="320"/>
      </w:pPr>
      <w:r>
        <w:rPr>
          <w:color w:val="888888"/>
          <w:sz w:val="22"/>
          <w:szCs w:val="22"/>
        </w:rPr>
        <w:t xml:space="preserve">[À compléter avec les informations de votre entreprise]</w:t>
      </w:r>
    </w:p>
    <w:p>
      <w:pPr>
        <w:pStyle w:val="Heading1"/>
        <w:spacing w:after="120" w:before="320"/>
      </w:pPr>
      <w:r>
        <w:t xml:space="preserve">11. Démarche environnementale et gestion des déchets</w:t>
      </w:r>
    </w:p>
    <w:p>
      <w:pPr>
        <w:spacing w:after="160"/>
      </w:pPr>
      <w:r>
        <w:rPr>
          <w:i/>
          <w:iCs/>
          <w:color w:val="555555"/>
          <w:sz w:val="20"/>
          <w:szCs w:val="20"/>
        </w:rPr>
        <w:t xml:space="preserve">Tri à la source, filières de valorisation, traçabilité, réduction des nuisances.</w:t>
      </w:r>
    </w:p>
    <w:p>
      <w:pPr>
        <w:spacing w:after="320"/>
      </w:pPr>
      <w:r>
        <w:rPr>
          <w:color w:val="888888"/>
          <w:sz w:val="22"/>
          <w:szCs w:val="22"/>
        </w:rPr>
        <w:t xml:space="preserve">[À compléter avec les informations de votre entreprise]</w:t>
      </w:r>
    </w:p>
    <w:p>
      <w:pPr>
        <w:pStyle w:val="Heading1"/>
        <w:spacing w:after="120" w:before="320"/>
      </w:pPr>
      <w:r>
        <w:t xml:space="preserve">12. Références similaires</w:t>
      </w:r>
    </w:p>
    <w:p>
      <w:pPr>
        <w:spacing w:after="160"/>
      </w:pPr>
      <w:r>
        <w:rPr>
          <w:i/>
          <w:iCs/>
          <w:color w:val="555555"/>
          <w:sz w:val="20"/>
          <w:szCs w:val="20"/>
        </w:rPr>
        <w:t xml:space="preserve">3 à 5 références réelles et comparables : client, lieu, année, montant, nature.</w:t>
      </w:r>
    </w:p>
    <w:p>
      <w:pPr>
        <w:spacing w:after="320"/>
      </w:pPr>
      <w:r>
        <w:rPr>
          <w:color w:val="888888"/>
          <w:sz w:val="22"/>
          <w:szCs w:val="22"/>
        </w:rPr>
        <w:t xml:space="preserve">[N'indiquez que des références réellement exécutées]</w:t>
      </w:r>
    </w:p>
    <w:p>
      <w:pPr>
        <w:pStyle w:val="Heading1"/>
        <w:spacing w:after="120" w:before="320"/>
      </w:pPr>
      <w:r>
        <w:t xml:space="preserve">Annexe — points de vigilance propres au lot</w:t>
      </w:r>
    </w:p>
    <w:p>
      <w:pPr>
        <w:pStyle w:val="ListParagraph"/>
        <w:numPr>
          <w:ilvl w:val="0"/>
          <w:numId w:val="1"/>
        </w:numPr>
        <w:spacing w:after="60"/>
      </w:pPr>
      <w:r>
        <w:t xml:space="preserve">Rappelez systématiquement la garantie décennale et la nécessité d'un support conforme avant intervention : c'est le point de vigilance numéro un de l'acheteur sur ce lot.</w:t>
      </w:r>
    </w:p>
    <w:p>
      <w:pPr>
        <w:pStyle w:val="ListParagraph"/>
        <w:numPr>
          <w:ilvl w:val="0"/>
          <w:numId w:val="1"/>
        </w:numPr>
        <w:spacing w:after="60"/>
      </w:pPr>
      <w:r>
        <w:t xml:space="preserve">Détaillez les hauteurs de relevés en acrotères et pénétrations : un point souvent sous-traité mais très surveillé en réception.</w:t>
      </w:r>
    </w:p>
    <w:p>
      <w:pPr>
        <w:pStyle w:val="ListParagraph"/>
        <w:numPr>
          <w:ilvl w:val="0"/>
          <w:numId w:val="1"/>
        </w:numPr>
        <w:spacing w:after="60"/>
      </w:pPr>
      <w:r>
        <w:t xml:space="preserve">Décrivez l'essai d'étanchéité prévu (arrosage ou rétention d'eau) et sa durée : cela crédibilise votre démarche qualité.</w:t>
      </w:r>
    </w:p>
    <w:p>
      <w:pPr>
        <w:pStyle w:val="ListParagraph"/>
        <w:numPr>
          <w:ilvl w:val="0"/>
          <w:numId w:val="1"/>
        </w:numPr>
        <w:spacing w:after="60"/>
      </w:pPr>
      <w:r>
        <w:t xml:space="preserve">Anticipez la compatibilité entre l'ancien et le nouveau système en rénovation (dépose totale ou recouvrement) et justifiez votre choix.</w:t>
      </w:r>
    </w:p>
    <w:p>
      <w:pPr>
        <w:pStyle w:val="ListParagraph"/>
        <w:numPr>
          <w:ilvl w:val="0"/>
          <w:numId w:val="1"/>
        </w:numPr>
        <w:spacing w:after="60"/>
      </w:pPr>
      <w:r>
        <w:t xml:space="preserve">En toiture accessible ou végétalisée, précisez la protection anti-racines et la surcharge admissible calculée par le bureau d'études structure.</w:t>
      </w:r>
    </w:p>
    <w:p>
      <w:pPr>
        <w:pStyle w:val="Heading1"/>
        <w:spacing w:after="120" w:before="320"/>
      </w:pPr>
      <w:r>
        <w:t xml:space="preserve">Annexe — exemples de formulations</w:t>
      </w:r>
    </w:p>
    <w:p>
      <w:pPr>
        <w:spacing w:after="60" w:before="160"/>
      </w:pPr>
      <w:r>
        <w:rPr>
          <w:b/>
          <w:bCs/>
        </w:rPr>
        <w:t xml:space="preserve">Méthodologie de pose</w:t>
      </w:r>
    </w:p>
    <w:p>
      <w:pPr>
        <w:spacing w:after="160"/>
      </w:pPr>
      <w:r>
        <w:rPr>
          <w:i/>
          <w:iCs/>
          <w:color w:val="555555"/>
          <w:sz w:val="20"/>
          <w:szCs w:val="20"/>
        </w:rPr>
        <w:t xml:space="preserve">Après vérification de la pente (2 % minimum) et de la planéité du support en béton, un pare-vapeur bitumineux sera soudé en plein, suivi de panneaux isolants fixés mécaniquement puis d'un système d'étanchéité bicouche SBS soudé au chalumeau, avec recouvrements de 8 cm contrôlés à l'aiguille sur 100 % des soudures.</w:t>
      </w:r>
    </w:p>
    <w:p>
      <w:pPr>
        <w:spacing w:after="60" w:before="160"/>
      </w:pPr>
      <w:r>
        <w:rPr>
          <w:b/>
          <w:bCs/>
        </w:rPr>
        <w:t xml:space="preserve">Essais de réception</w:t>
      </w:r>
    </w:p>
    <w:p>
      <w:pPr>
        <w:spacing w:after="160"/>
      </w:pPr>
      <w:r>
        <w:rPr>
          <w:i/>
          <w:iCs/>
          <w:color w:val="555555"/>
          <w:sz w:val="20"/>
          <w:szCs w:val="20"/>
        </w:rPr>
        <w:t xml:space="preserve">Une mise en rétention d'eau sur une hauteur de 5 cm sera réalisée pendant 48 heures en présence de la maîtrise d'œuvre avant pose de la protection lourde, conformément au NF DTU 43.1. Le procès-verbal d'essai sera joint au dossier des ouvrages exécutés.</w:t>
      </w:r>
    </w:p>
    <w:p>
      <w:pPr>
        <w:spacing w:after="160"/>
      </w:pPr>
      <w:r>
        <w:rPr>
          <w:i/>
          <w:iCs/>
          <w:color w:val="555555"/>
          <w:sz w:val="20"/>
          <w:szCs w:val="20"/>
        </w:rPr>
        <w:t xml:space="preserve">Ces formulations sont des exemples à adapter : ne les déposez jamais telles quelles, un acheteur reconnaît immédiatement un texte générique.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mémoire technique Étanchéité</dc:title>
  <dc:creator>BatiRedac</dc:creator>
  <dc:description>Trame de mémoire technique étanchéité : DTU 43.1/43.3/43.5, membranes SBS et PVC, relevés, Qualibat 3212/3213, essais et garantie décennale. PDF gratuit.</dc:description>
  <cp:lastModifiedBy>Un-named</cp:lastModifiedBy>
  <cp:revision>1</cp:revision>
  <dcterms:created xsi:type="dcterms:W3CDTF">2026-09-01T15:00:05.151Z</dcterms:created>
  <dcterms:modified xsi:type="dcterms:W3CDTF">2026-09-01T15:00:05.151Z</dcterms:modified>
</cp:coreProperties>
</file>

<file path=docProps/custom.xml><?xml version="1.0" encoding="utf-8"?>
<Properties xmlns="http://schemas.openxmlformats.org/officeDocument/2006/custom-properties" xmlns:vt="http://schemas.openxmlformats.org/officeDocument/2006/docPropsVTypes"/>
</file>