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t xml:space="preserve">MÉMOIRE TECHNIQUE</w:t>
      </w:r>
    </w:p>
    <w:p>
      <w:pPr>
        <w:spacing w:after="160"/>
        <w:jc w:val="center"/>
      </w:pPr>
      <w:r>
        <w:rPr>
          <w:color w:val="888888"/>
          <w:sz w:val="28"/>
          <w:szCs w:val="28"/>
        </w:rPr>
        <w:t xml:space="preserve">Lot Espaces verts et paysage — [Nom de l'opération / du marché]</w:t>
      </w:r>
    </w:p>
    <w:p>
      <w:pPr>
        <w:spacing w:after="480"/>
        <w:jc w:val="center"/>
      </w:pPr>
      <w:r>
        <w:rPr>
          <w:color w:val="888888"/>
          <w:sz w:val="22"/>
          <w:szCs w:val="22"/>
        </w:rPr>
        <w:t xml:space="preserve">[Nom de votre entreprise] — [SIRET] — [Lot concerné]</w:t>
      </w:r>
    </w:p>
    <w:p>
      <w:pPr>
        <w:spacing w:after="160"/>
      </w:pPr>
      <w:r>
        <w:rPr>
          <w:i/>
          <w:iCs/>
          <w:color w:val="555555"/>
          <w:sz w:val="20"/>
          <w:szCs w:val="20"/>
        </w:rPr>
        <w:t xml:space="preserve">Modèle gratuit proposé par BatiRedac (batiredac.com/modele-memoire-technique/espaces-verts). Remplacez chaque consigne par votre contenu et alignez les sections sur les critères du règlement de consultation. Supprimez cette ligne avant dépôt.</w:t>
      </w:r>
    </w:p>
    <w:p>
      <w:pPr>
        <w:pStyle w:val="Heading1"/>
        <w:spacing w:after="120" w:before="320"/>
      </w:pPr>
      <w:r>
        <w:t xml:space="preserve">1. Présentation de l'entreprise</w:t>
      </w:r>
    </w:p>
    <w:p>
      <w:pPr>
        <w:spacing w:after="160"/>
      </w:pPr>
      <w:r>
        <w:rPr>
          <w:i/>
          <w:iCs/>
          <w:color w:val="555555"/>
          <w:sz w:val="20"/>
          <w:szCs w:val="20"/>
        </w:rPr>
        <w:t xml:space="preserve">Identité, historique, effectifs, chiffre d'affaires, zone d'intervention.</w:t>
      </w:r>
    </w:p>
    <w:p>
      <w:pPr>
        <w:spacing w:after="320"/>
      </w:pPr>
      <w:r>
        <w:rPr>
          <w:color w:val="888888"/>
          <w:sz w:val="22"/>
          <w:szCs w:val="22"/>
        </w:rPr>
        <w:t xml:space="preserve">[À compléter avec les informations de votre entreprise]</w:t>
      </w:r>
    </w:p>
    <w:p>
      <w:pPr>
        <w:pStyle w:val="Heading1"/>
        <w:spacing w:after="120" w:before="320"/>
      </w:pPr>
      <w:r>
        <w:t xml:space="preserve">2. Qualifications et assurances</w:t>
      </w:r>
    </w:p>
    <w:p>
      <w:pPr>
        <w:spacing w:after="160"/>
      </w:pPr>
      <w:r>
        <w:rPr>
          <w:i/>
          <w:iCs/>
          <w:color w:val="555555"/>
          <w:sz w:val="20"/>
          <w:szCs w:val="20"/>
        </w:rPr>
        <w:t xml:space="preserve">Qualifications attendues sur ce type de lot (joindre les certificats en cours de validité) :</w:t>
      </w:r>
    </w:p>
    <w:p>
      <w:pPr>
        <w:pStyle w:val="ListParagraph"/>
        <w:numPr>
          <w:ilvl w:val="0"/>
          <w:numId w:val="1"/>
        </w:numPr>
        <w:spacing w:after="60"/>
      </w:pPr>
      <w:r>
        <w:t xml:space="preserve">Qualipaysage — Qualification des entreprises du paysage par domaine d'activité</w:t>
      </w:r>
    </w:p>
    <w:p>
      <w:pPr>
        <w:pStyle w:val="ListParagraph"/>
        <w:numPr>
          <w:ilvl w:val="0"/>
          <w:numId w:val="1"/>
        </w:numPr>
        <w:spacing w:after="60"/>
      </w:pPr>
      <w:r>
        <w:t xml:space="preserve">Label Plante Bleue — Certification environnementale des entreprises de production et d'entretien</w:t>
      </w:r>
    </w:p>
    <w:p>
      <w:pPr>
        <w:pStyle w:val="ListParagraph"/>
        <w:numPr>
          <w:ilvl w:val="0"/>
          <w:numId w:val="1"/>
        </w:numPr>
        <w:spacing w:after="60"/>
      </w:pPr>
      <w:r>
        <w:t xml:space="preserve">Certiphyto — Certificat individuel pour l'usage professionnel de produits phytopharmaceutiques</w:t>
      </w:r>
    </w:p>
    <w:p>
      <w:pPr>
        <w:pStyle w:val="ListParagraph"/>
        <w:numPr>
          <w:ilvl w:val="0"/>
          <w:numId w:val="1"/>
        </w:numPr>
        <w:spacing w:after="60"/>
      </w:pPr>
      <w:r>
        <w:t xml:space="preserve">Décennale — attestation d'assurance pour les ouvrages de maçonnerie paysagère associés</w:t>
      </w:r>
    </w:p>
    <w:p>
      <w:pPr>
        <w:spacing w:after="320"/>
      </w:pPr>
      <w:r>
        <w:rPr>
          <w:color w:val="888888"/>
          <w:sz w:val="22"/>
          <w:szCs w:val="22"/>
        </w:rPr>
        <w:t xml:space="preserve">[Références de vos certificats et attestations d'assurance]</w:t>
      </w:r>
    </w:p>
    <w:p>
      <w:pPr>
        <w:pStyle w:val="Heading1"/>
        <w:spacing w:after="120" w:before="320"/>
      </w:pPr>
      <w:r>
        <w:t xml:space="preserve">3. Compréhension du projet et des enjeux</w:t>
      </w:r>
    </w:p>
    <w:p>
      <w:pPr>
        <w:spacing w:after="160"/>
      </w:pPr>
      <w:r>
        <w:rPr>
          <w:i/>
          <w:iCs/>
          <w:color w:val="555555"/>
          <w:sz w:val="20"/>
          <w:szCs w:val="20"/>
        </w:rPr>
        <w:t xml:space="preserve">Reformulez le contexte du marché et identifiez 3 à 5 enjeux issus du CCTP.</w:t>
      </w:r>
    </w:p>
    <w:p>
      <w:pPr>
        <w:spacing w:after="320"/>
      </w:pPr>
      <w:r>
        <w:rPr>
          <w:color w:val="888888"/>
          <w:sz w:val="22"/>
          <w:szCs w:val="22"/>
        </w:rPr>
        <w:t xml:space="preserve">[À compléter avec les informations de votre entreprise]</w:t>
      </w:r>
    </w:p>
    <w:p>
      <w:pPr>
        <w:pStyle w:val="Heading1"/>
        <w:spacing w:after="120" w:before="320"/>
      </w:pPr>
      <w:r>
        <w:t xml:space="preserve">4. Moyens humains affectés</w:t>
      </w:r>
    </w:p>
    <w:p>
      <w:pPr>
        <w:spacing w:after="160"/>
      </w:pPr>
      <w:r>
        <w:rPr>
          <w:i/>
          <w:iCs/>
          <w:color w:val="555555"/>
          <w:sz w:val="20"/>
          <w:szCs w:val="20"/>
        </w:rPr>
        <w:t xml:space="preserve">Effectif dédié, qualifications et rôle de chacun. Trame type pour ce métier :</w:t>
      </w:r>
    </w:p>
    <w:p>
      <w:pPr>
        <w:pStyle w:val="ListParagraph"/>
        <w:numPr>
          <w:ilvl w:val="0"/>
          <w:numId w:val="1"/>
        </w:numPr>
        <w:spacing w:after="60"/>
      </w:pPr>
      <w:r>
        <w:t xml:space="preserve">Conducteur de travaux paysagiste (BTSA Aménagements paysagers, 10 ans d'expérience) — Études d'exécution, choix des végétaux, suivi de reprise</w:t>
      </w:r>
    </w:p>
    <w:p>
      <w:pPr>
        <w:pStyle w:val="ListParagraph"/>
        <w:numPr>
          <w:ilvl w:val="0"/>
          <w:numId w:val="1"/>
        </w:numPr>
        <w:spacing w:after="60"/>
      </w:pPr>
      <w:r>
        <w:t xml:space="preserve">Chef d'équipe (Certiphyto décideur, CACES engins de chantier) — Encadrement, plantations, gestion différenciée</w:t>
      </w:r>
    </w:p>
    <w:p>
      <w:pPr>
        <w:pStyle w:val="ListParagraph"/>
        <w:numPr>
          <w:ilvl w:val="0"/>
          <w:numId w:val="1"/>
        </w:numPr>
        <w:spacing w:after="60"/>
      </w:pPr>
      <w:r>
        <w:t xml:space="preserve">Ouvriers paysagistes (Certiphyto opérateur, habilitation élagage si besoin) — Plantations, taille, tonte, désherbage mécanique</w:t>
      </w:r>
    </w:p>
    <w:p>
      <w:pPr>
        <w:pStyle w:val="ListParagraph"/>
        <w:numPr>
          <w:ilvl w:val="0"/>
          <w:numId w:val="1"/>
        </w:numPr>
        <w:spacing w:after="60"/>
      </w:pPr>
      <w:r>
        <w:t xml:space="preserve">Arrosage et entretien (Formation systèmes d'irrigation) — Programmation, maintenance des réseaux d'arrosage</w:t>
      </w:r>
    </w:p>
    <w:p>
      <w:pPr>
        <w:spacing w:after="320"/>
      </w:pPr>
      <w:r>
        <w:rPr>
          <w:color w:val="888888"/>
          <w:sz w:val="22"/>
          <w:szCs w:val="22"/>
        </w:rPr>
        <w:t xml:space="preserve">[Nom, ancienneté et disponibilité de chaque intervenant]</w:t>
      </w:r>
    </w:p>
    <w:p>
      <w:pPr>
        <w:pStyle w:val="Heading1"/>
        <w:spacing w:after="120" w:before="320"/>
      </w:pPr>
      <w:r>
        <w:t xml:space="preserve">5. Moyens matériels dédiés</w:t>
      </w:r>
    </w:p>
    <w:p>
      <w:pPr>
        <w:spacing w:after="160"/>
      </w:pPr>
      <w:r>
        <w:rPr>
          <w:i/>
          <w:iCs/>
          <w:color w:val="555555"/>
          <w:sz w:val="20"/>
          <w:szCs w:val="20"/>
        </w:rPr>
        <w:t xml:space="preserve">Matériel affecté au chantier, en propre ou en location, et matériel de secours.</w:t>
      </w:r>
    </w:p>
    <w:p>
      <w:pPr>
        <w:spacing w:after="60" w:before="120"/>
      </w:pPr>
      <w:r>
        <w:rPr>
          <w:b/>
          <w:bCs/>
        </w:rPr>
        <w:t xml:space="preserve">Préparation des sols et plantation</w:t>
      </w:r>
    </w:p>
    <w:p>
      <w:pPr>
        <w:pStyle w:val="ListParagraph"/>
        <w:numPr>
          <w:ilvl w:val="0"/>
          <w:numId w:val="1"/>
        </w:numPr>
        <w:spacing w:after="60"/>
      </w:pPr>
      <w:r>
        <w:t xml:space="preserve">Motoculteurs, sous-soleuse, épandeur d'amendements</w:t>
      </w:r>
    </w:p>
    <w:p>
      <w:pPr>
        <w:pStyle w:val="ListParagraph"/>
        <w:numPr>
          <w:ilvl w:val="0"/>
          <w:numId w:val="1"/>
        </w:numPr>
        <w:spacing w:after="60"/>
      </w:pPr>
      <w:r>
        <w:t xml:space="preserve">Tarière, chariot de manutention pour végétaux en motte</w:t>
      </w:r>
    </w:p>
    <w:p>
      <w:pPr>
        <w:spacing w:after="60" w:before="120"/>
      </w:pPr>
      <w:r>
        <w:rPr>
          <w:b/>
          <w:bCs/>
        </w:rPr>
        <w:t xml:space="preserve">Entretien</w:t>
      </w:r>
    </w:p>
    <w:p>
      <w:pPr>
        <w:pStyle w:val="ListParagraph"/>
        <w:numPr>
          <w:ilvl w:val="0"/>
          <w:numId w:val="1"/>
        </w:numPr>
        <w:spacing w:after="60"/>
      </w:pPr>
      <w:r>
        <w:t xml:space="preserve">Tondeuses autoportées et débroussailleuses</w:t>
      </w:r>
    </w:p>
    <w:p>
      <w:pPr>
        <w:pStyle w:val="ListParagraph"/>
        <w:numPr>
          <w:ilvl w:val="0"/>
          <w:numId w:val="1"/>
        </w:numPr>
        <w:spacing w:after="60"/>
      </w:pPr>
      <w:r>
        <w:t xml:space="preserve">Désherbeurs thermiques et mécaniques (sans phytosanitaire)</w:t>
      </w:r>
    </w:p>
    <w:p>
      <w:pPr>
        <w:pStyle w:val="ListParagraph"/>
        <w:numPr>
          <w:ilvl w:val="0"/>
          <w:numId w:val="1"/>
        </w:numPr>
        <w:spacing w:after="60"/>
      </w:pPr>
      <w:r>
        <w:t xml:space="preserve">Broyeurs de végétaux pour paillage</w:t>
      </w:r>
    </w:p>
    <w:p>
      <w:pPr>
        <w:spacing w:after="60" w:before="120"/>
      </w:pPr>
      <w:r>
        <w:rPr>
          <w:b/>
          <w:bCs/>
        </w:rPr>
        <w:t xml:space="preserve">Arrosage et suivi</w:t>
      </w:r>
    </w:p>
    <w:p>
      <w:pPr>
        <w:pStyle w:val="ListParagraph"/>
        <w:numPr>
          <w:ilvl w:val="0"/>
          <w:numId w:val="1"/>
        </w:numPr>
        <w:spacing w:after="60"/>
      </w:pPr>
      <w:r>
        <w:t xml:space="preserve">Systèmes d'arrosage automatique programmables</w:t>
      </w:r>
    </w:p>
    <w:p>
      <w:pPr>
        <w:pStyle w:val="ListParagraph"/>
        <w:numPr>
          <w:ilvl w:val="0"/>
          <w:numId w:val="1"/>
        </w:numPr>
        <w:spacing w:after="60"/>
      </w:pPr>
      <w:r>
        <w:t xml:space="preserve">Sondes tensiométriques pour pilotage raisonné de l'irrigation</w:t>
      </w:r>
    </w:p>
    <w:p>
      <w:pPr>
        <w:spacing w:after="320"/>
      </w:pPr>
      <w:r>
        <w:rPr>
          <w:color w:val="888888"/>
          <w:sz w:val="22"/>
          <w:szCs w:val="22"/>
        </w:rPr>
        <w:t xml:space="preserve">[Complétez avec vos matériels réellement mobilisés]</w:t>
      </w:r>
    </w:p>
    <w:p>
      <w:pPr>
        <w:pStyle w:val="Heading1"/>
        <w:spacing w:after="120" w:before="320"/>
      </w:pPr>
      <w:r>
        <w:t xml:space="preserve">6. Méthodologie d'exécution détaillée</w:t>
      </w:r>
    </w:p>
    <w:p>
      <w:pPr>
        <w:spacing w:after="160"/>
      </w:pPr>
      <w:r>
        <w:rPr>
          <w:i/>
          <w:iCs/>
          <w:color w:val="555555"/>
          <w:sz w:val="20"/>
          <w:szCs w:val="20"/>
        </w:rPr>
        <w:t xml:space="preserve">Section la plus notée : comment vous exécutez concrètement les travaux du CCTP.</w:t>
      </w:r>
    </w:p>
    <w:p>
      <w:pPr>
        <w:pStyle w:val="Heading2"/>
        <w:spacing w:after="80" w:before="200"/>
      </w:pPr>
      <w:r>
        <w:t xml:space="preserve">Préparation des sols et étude végétale</w:t>
      </w:r>
    </w:p>
    <w:p>
      <w:pPr>
        <w:spacing w:after="160"/>
      </w:pPr>
      <w:r>
        <w:rPr>
          <w:i/>
          <w:iCs/>
          <w:color w:val="555555"/>
          <w:sz w:val="20"/>
          <w:szCs w:val="20"/>
        </w:rPr>
        <w:t xml:space="preserve">Analyse pédologique, décompactage et amendement organique du sol, sélection des essences adaptées au climat local et aux contraintes du site (NF V12-051), plan de plantation soumis au visa de la maîtrise d'œuvre avec respect des distances réglementaires vis-à-vis des réseaux (NF P98-332).</w:t>
      </w:r>
    </w:p>
    <w:p>
      <w:pPr>
        <w:spacing w:after="320"/>
      </w:pPr>
      <w:r>
        <w:rPr>
          <w:color w:val="888888"/>
          <w:sz w:val="22"/>
          <w:szCs w:val="22"/>
        </w:rPr>
        <w:t xml:space="preserve">[Adaptez au chantier : quantités, cadences, points singuliers]</w:t>
      </w:r>
    </w:p>
    <w:p>
      <w:pPr>
        <w:pStyle w:val="Heading2"/>
        <w:spacing w:after="80" w:before="200"/>
      </w:pPr>
      <w:r>
        <w:t xml:space="preserve">Plantations et engazonnement</w:t>
      </w:r>
    </w:p>
    <w:p>
      <w:pPr>
        <w:spacing w:after="160"/>
      </w:pPr>
      <w:r>
        <w:rPr>
          <w:i/>
          <w:iCs/>
          <w:color w:val="555555"/>
          <w:sz w:val="20"/>
          <w:szCs w:val="20"/>
        </w:rPr>
        <w:t xml:space="preserve">Ouverture des fosses de plantation aux dimensions adaptées au système racinaire, mise en place de tuteurage et paillage organique, arrosage d'installation, engazonnement par semis ou placage selon les zones d'usage définies au CCTP.</w:t>
      </w:r>
    </w:p>
    <w:p>
      <w:pPr>
        <w:spacing w:after="320"/>
      </w:pPr>
      <w:r>
        <w:rPr>
          <w:color w:val="888888"/>
          <w:sz w:val="22"/>
          <w:szCs w:val="22"/>
        </w:rPr>
        <w:t xml:space="preserve">[Adaptez au chantier : quantités, cadences, points singuliers]</w:t>
      </w:r>
    </w:p>
    <w:p>
      <w:pPr>
        <w:pStyle w:val="Heading2"/>
        <w:spacing w:after="80" w:before="200"/>
      </w:pPr>
      <w:r>
        <w:t xml:space="preserve">Gestion différenciée et entretien</w:t>
      </w:r>
    </w:p>
    <w:p>
      <w:pPr>
        <w:spacing w:after="160"/>
      </w:pPr>
      <w:r>
        <w:rPr>
          <w:i/>
          <w:iCs/>
          <w:color w:val="555555"/>
          <w:sz w:val="20"/>
          <w:szCs w:val="20"/>
        </w:rPr>
        <w:t xml:space="preserve">Mise en œuvre d'un plan de gestion différenciée distinguant les zones intensives (parcs de représentation), extensives (prairies fleuries, fauche tardive) et naturelles (zones refuges), désherbage exclusivement mécanique ou thermique conformément à la loi Labbé, pilotage raisonné de l'arrosage selon les besoins réels des végétaux.</w:t>
      </w:r>
    </w:p>
    <w:p>
      <w:pPr>
        <w:spacing w:after="320"/>
      </w:pPr>
      <w:r>
        <w:rPr>
          <w:color w:val="888888"/>
          <w:sz w:val="22"/>
          <w:szCs w:val="22"/>
        </w:rPr>
        <w:t xml:space="preserve">[Adaptez au chantier : quantités, cadences, points singuliers]</w:t>
      </w:r>
    </w:p>
    <w:p>
      <w:pPr>
        <w:pStyle w:val="Heading2"/>
        <w:spacing w:after="80" w:before="200"/>
      </w:pPr>
      <w:r>
        <w:t xml:space="preserve">Suivi de reprise et garantie</w:t>
      </w:r>
    </w:p>
    <w:p>
      <w:pPr>
        <w:spacing w:after="160"/>
      </w:pPr>
      <w:r>
        <w:rPr>
          <w:i/>
          <w:iCs/>
          <w:color w:val="555555"/>
          <w:sz w:val="20"/>
          <w:szCs w:val="20"/>
        </w:rPr>
        <w:t xml:space="preserve">Visites de contrôle périodiques pendant la période de garantie de reprise (généralement un an), remplacement des végétaux non repris sans surcoût pour le maître d'ouvrage, bilan phytosanitaire de fin de garantie et remise du plan de gestion actualisé.</w:t>
      </w:r>
    </w:p>
    <w:p>
      <w:pPr>
        <w:spacing w:after="320"/>
      </w:pPr>
      <w:r>
        <w:rPr>
          <w:color w:val="888888"/>
          <w:sz w:val="22"/>
          <w:szCs w:val="22"/>
        </w:rPr>
        <w:t xml:space="preserve">[Adaptez au chantier : quantités, cadences, points singuliers]</w:t>
      </w:r>
    </w:p>
    <w:p>
      <w:pPr>
        <w:pStyle w:val="Heading1"/>
        <w:spacing w:after="120" w:before="320"/>
      </w:pPr>
      <w:r>
        <w:t xml:space="preserve">7. Normes et textes de référence</w:t>
      </w:r>
    </w:p>
    <w:p>
      <w:pPr>
        <w:pStyle w:val="ListParagraph"/>
        <w:numPr>
          <w:ilvl w:val="0"/>
          <w:numId w:val="1"/>
        </w:numPr>
        <w:spacing w:after="60"/>
      </w:pPr>
      <w:r>
        <w:t xml:space="preserve">Fascicule 35 — Aménagements paysagers, aires de sports et de loisirs de plein air (CCTG travaux)</w:t>
      </w:r>
    </w:p>
    <w:p>
      <w:pPr>
        <w:pStyle w:val="ListParagraph"/>
        <w:numPr>
          <w:ilvl w:val="0"/>
          <w:numId w:val="1"/>
        </w:numPr>
        <w:spacing w:after="60"/>
      </w:pPr>
      <w:r>
        <w:t xml:space="preserve">NF P98-332 — Chaussées et dépendances — distances des plantations vis-à-vis des réseaux</w:t>
      </w:r>
    </w:p>
    <w:p>
      <w:pPr>
        <w:pStyle w:val="ListParagraph"/>
        <w:numPr>
          <w:ilvl w:val="0"/>
          <w:numId w:val="1"/>
        </w:numPr>
        <w:spacing w:after="60"/>
      </w:pPr>
      <w:r>
        <w:t xml:space="preserve">NF V12-051 — Végétaux d'ornement — spécifications générales des pépinières</w:t>
      </w:r>
    </w:p>
    <w:p>
      <w:pPr>
        <w:pStyle w:val="ListParagraph"/>
        <w:numPr>
          <w:ilvl w:val="0"/>
          <w:numId w:val="1"/>
        </w:numPr>
        <w:spacing w:after="60"/>
      </w:pPr>
      <w:r>
        <w:t xml:space="preserve">Loi Labbé (2014, renforcée 2017) — Interdiction des produits phytosanitaires dans les espaces publics</w:t>
      </w:r>
    </w:p>
    <w:p>
      <w:pPr>
        <w:spacing w:after="320"/>
      </w:pPr>
      <w:r>
        <w:rPr>
          <w:color w:val="888888"/>
          <w:sz w:val="22"/>
          <w:szCs w:val="22"/>
        </w:rPr>
        <w:t xml:space="preserve">[Ajoutez les normes citées par le CCTP]</w:t>
      </w:r>
    </w:p>
    <w:p>
      <w:pPr>
        <w:pStyle w:val="Heading1"/>
        <w:spacing w:after="120" w:before="320"/>
      </w:pPr>
      <w:r>
        <w:t xml:space="preserve">8. Planning prévisionnel et gestion des délais</w:t>
      </w:r>
    </w:p>
    <w:p>
      <w:pPr>
        <w:spacing w:after="160"/>
      </w:pPr>
      <w:r>
        <w:rPr>
          <w:i/>
          <w:iCs/>
          <w:color w:val="555555"/>
          <w:sz w:val="20"/>
          <w:szCs w:val="20"/>
        </w:rPr>
        <w:t xml:space="preserve">Phasage, jalons contractuels, marges, gestion des aléas et des intempéries.</w:t>
      </w:r>
    </w:p>
    <w:p>
      <w:pPr>
        <w:spacing w:after="320"/>
      </w:pPr>
      <w:r>
        <w:rPr>
          <w:color w:val="888888"/>
          <w:sz w:val="22"/>
          <w:szCs w:val="22"/>
        </w:rPr>
        <w:t xml:space="preserve">[À compléter avec les informations de votre entreprise]</w:t>
      </w:r>
    </w:p>
    <w:p>
      <w:pPr>
        <w:pStyle w:val="Heading1"/>
        <w:spacing w:after="120" w:before="320"/>
      </w:pPr>
      <w:r>
        <w:t xml:space="preserve">9. Démarche qualité et contrôles</w:t>
      </w:r>
    </w:p>
    <w:p>
      <w:pPr>
        <w:spacing w:after="160"/>
      </w:pPr>
      <w:r>
        <w:rPr>
          <w:i/>
          <w:iCs/>
          <w:color w:val="555555"/>
          <w:sz w:val="20"/>
          <w:szCs w:val="20"/>
        </w:rPr>
        <w:t xml:space="preserve">Autocontrôles, points d'arrêt, traitement des non-conformités, documents de suivi.</w:t>
      </w:r>
    </w:p>
    <w:p>
      <w:pPr>
        <w:spacing w:after="320"/>
      </w:pPr>
      <w:r>
        <w:rPr>
          <w:color w:val="888888"/>
          <w:sz w:val="22"/>
          <w:szCs w:val="22"/>
        </w:rPr>
        <w:t xml:space="preserve">[À compléter avec les informations de votre entreprise]</w:t>
      </w:r>
    </w:p>
    <w:p>
      <w:pPr>
        <w:pStyle w:val="Heading1"/>
        <w:spacing w:after="120" w:before="320"/>
      </w:pPr>
      <w:r>
        <w:t xml:space="preserve">10. Hygiène, sécurité et prévention</w:t>
      </w:r>
    </w:p>
    <w:p>
      <w:pPr>
        <w:spacing w:after="160"/>
      </w:pPr>
      <w:r>
        <w:rPr>
          <w:i/>
          <w:iCs/>
          <w:color w:val="555555"/>
          <w:sz w:val="20"/>
          <w:szCs w:val="20"/>
        </w:rPr>
        <w:t xml:space="preserve">Analyse des risques du lot, mesures de prévention, accueil sécurité, coordination SPS.</w:t>
      </w:r>
    </w:p>
    <w:p>
      <w:pPr>
        <w:spacing w:after="320"/>
      </w:pPr>
      <w:r>
        <w:rPr>
          <w:color w:val="888888"/>
          <w:sz w:val="22"/>
          <w:szCs w:val="22"/>
        </w:rPr>
        <w:t xml:space="preserve">[À compléter avec les informations de votre entreprise]</w:t>
      </w:r>
    </w:p>
    <w:p>
      <w:pPr>
        <w:pStyle w:val="Heading1"/>
        <w:spacing w:after="120" w:before="320"/>
      </w:pPr>
      <w:r>
        <w:t xml:space="preserve">11. Démarche environnementale et gestion des déchets</w:t>
      </w:r>
    </w:p>
    <w:p>
      <w:pPr>
        <w:spacing w:after="160"/>
      </w:pPr>
      <w:r>
        <w:rPr>
          <w:i/>
          <w:iCs/>
          <w:color w:val="555555"/>
          <w:sz w:val="20"/>
          <w:szCs w:val="20"/>
        </w:rPr>
        <w:t xml:space="preserve">Tri à la source, filières de valorisation, traçabilité, réduction des nuisances.</w:t>
      </w:r>
    </w:p>
    <w:p>
      <w:pPr>
        <w:spacing w:after="320"/>
      </w:pPr>
      <w:r>
        <w:rPr>
          <w:color w:val="888888"/>
          <w:sz w:val="22"/>
          <w:szCs w:val="22"/>
        </w:rPr>
        <w:t xml:space="preserve">[À compléter avec les informations de votre entreprise]</w:t>
      </w:r>
    </w:p>
    <w:p>
      <w:pPr>
        <w:pStyle w:val="Heading1"/>
        <w:spacing w:after="120" w:before="320"/>
      </w:pPr>
      <w:r>
        <w:t xml:space="preserve">12. Références similaires</w:t>
      </w:r>
    </w:p>
    <w:p>
      <w:pPr>
        <w:spacing w:after="160"/>
      </w:pPr>
      <w:r>
        <w:rPr>
          <w:i/>
          <w:iCs/>
          <w:color w:val="555555"/>
          <w:sz w:val="20"/>
          <w:szCs w:val="20"/>
        </w:rPr>
        <w:t xml:space="preserve">3 à 5 références réelles et comparables : client, lieu, année, montant, nature.</w:t>
      </w:r>
    </w:p>
    <w:p>
      <w:pPr>
        <w:spacing w:after="320"/>
      </w:pPr>
      <w:r>
        <w:rPr>
          <w:color w:val="888888"/>
          <w:sz w:val="22"/>
          <w:szCs w:val="22"/>
        </w:rPr>
        <w:t xml:space="preserve">[N'indiquez que des références réellement exécutées]</w:t>
      </w:r>
    </w:p>
    <w:p>
      <w:pPr>
        <w:pStyle w:val="Heading1"/>
        <w:spacing w:after="120" w:before="320"/>
      </w:pPr>
      <w:r>
        <w:t xml:space="preserve">Annexe — points de vigilance propres au lot</w:t>
      </w:r>
    </w:p>
    <w:p>
      <w:pPr>
        <w:pStyle w:val="ListParagraph"/>
        <w:numPr>
          <w:ilvl w:val="0"/>
          <w:numId w:val="1"/>
        </w:numPr>
        <w:spacing w:after="60"/>
      </w:pPr>
      <w:r>
        <w:t xml:space="preserve">Rappelez l'interdiction des produits phytosanitaires sur les espaces publics (loi Labbé) et décrivez vos méthodes alternatives de désherbage.</w:t>
      </w:r>
    </w:p>
    <w:p>
      <w:pPr>
        <w:pStyle w:val="ListParagraph"/>
        <w:numPr>
          <w:ilvl w:val="0"/>
          <w:numId w:val="1"/>
        </w:numPr>
        <w:spacing w:after="60"/>
      </w:pPr>
      <w:r>
        <w:t xml:space="preserve">Précisez la durée et les conditions de la garantie de reprise des végétaux, ainsi que les critères de remplacement.</w:t>
      </w:r>
    </w:p>
    <w:p>
      <w:pPr>
        <w:pStyle w:val="ListParagraph"/>
        <w:numPr>
          <w:ilvl w:val="0"/>
          <w:numId w:val="1"/>
        </w:numPr>
        <w:spacing w:after="60"/>
      </w:pPr>
      <w:r>
        <w:t xml:space="preserve">Détaillez le plan de gestion différenciée par zone d'usage : c'est souvent un critère de notation environnementale explicite.</w:t>
      </w:r>
    </w:p>
    <w:p>
      <w:pPr>
        <w:pStyle w:val="ListParagraph"/>
        <w:numPr>
          <w:ilvl w:val="0"/>
          <w:numId w:val="1"/>
        </w:numPr>
        <w:spacing w:after="60"/>
      </w:pPr>
      <w:r>
        <w:t xml:space="preserve">Justifiez le choix d'essences locales et économes en eau pour limiter l'arrosage, surtout en climat méditerranéen ou en période de restriction.</w:t>
      </w:r>
    </w:p>
    <w:p>
      <w:pPr>
        <w:pStyle w:val="ListParagraph"/>
        <w:numPr>
          <w:ilvl w:val="0"/>
          <w:numId w:val="1"/>
        </w:numPr>
        <w:spacing w:after="60"/>
      </w:pPr>
      <w:r>
        <w:t xml:space="preserve">Anticipez les distances réglementaires de plantation vis-à-vis des réseaux enterrés et des limites de propriété.</w:t>
      </w:r>
    </w:p>
    <w:p>
      <w:pPr>
        <w:pStyle w:val="Heading1"/>
        <w:spacing w:after="120" w:before="320"/>
      </w:pPr>
      <w:r>
        <w:t xml:space="preserve">Annexe — exemples de formulations</w:t>
      </w:r>
    </w:p>
    <w:p>
      <w:pPr>
        <w:spacing w:after="60" w:before="160"/>
      </w:pPr>
      <w:r>
        <w:rPr>
          <w:b/>
          <w:bCs/>
        </w:rPr>
        <w:t xml:space="preserve">Gestion différenciée</w:t>
      </w:r>
    </w:p>
    <w:p>
      <w:pPr>
        <w:spacing w:after="160"/>
      </w:pPr>
      <w:r>
        <w:rPr>
          <w:i/>
          <w:iCs/>
          <w:color w:val="555555"/>
          <w:sz w:val="20"/>
          <w:szCs w:val="20"/>
        </w:rPr>
        <w:t xml:space="preserve">Le site sera géré selon trois niveaux différenciés : les abords des bâtiments en gestion intensive (tontes régulières, massifs fleuris), les espaces de transition en gestion extensive (fauche tardive une à deux fois par an) et les zones périphériques en gestion naturelle favorisant la biodiversité locale.</w:t>
      </w:r>
    </w:p>
    <w:p>
      <w:pPr>
        <w:spacing w:after="60" w:before="160"/>
      </w:pPr>
      <w:r>
        <w:rPr>
          <w:b/>
          <w:bCs/>
        </w:rPr>
        <w:t xml:space="preserve">Garantie de reprise</w:t>
      </w:r>
    </w:p>
    <w:p>
      <w:pPr>
        <w:spacing w:after="160"/>
      </w:pPr>
      <w:r>
        <w:rPr>
          <w:i/>
          <w:iCs/>
          <w:color w:val="555555"/>
          <w:sz w:val="20"/>
          <w:szCs w:val="20"/>
        </w:rPr>
        <w:t xml:space="preserve">Les végétaux plantés bénéficieront d'une garantie de reprise d'un an à compter de la réception. Tout sujet dépérissant ou mort sera remplacé à l'identique sans surcoût, après visite contradictoire avec la maîtrise d'œuvre constatant la cause du dépérissement.</w:t>
      </w:r>
    </w:p>
    <w:p>
      <w:pPr>
        <w:spacing w:after="160"/>
      </w:pPr>
      <w:r>
        <w:rPr>
          <w:i/>
          <w:iCs/>
          <w:color w:val="555555"/>
          <w:sz w:val="20"/>
          <w:szCs w:val="20"/>
        </w:rPr>
        <w:t xml:space="preserve">Ces formulations sont des exemples à adapter : ne les déposez jamais telles quelles, un acheteur reconnaît immédiatement un texte générique.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mémoire technique Espaces verts et paysage</dc:title>
  <dc:creator>BatiRedac</dc:creator>
  <dc:description>Trame de mémoire technique espaces verts : fascicule 35, label Plante Bleue, gestion différenciée, zéro phyto, garantie de reprise. PDF gratuit.</dc:description>
  <cp:lastModifiedBy>Un-named</cp:lastModifiedBy>
  <cp:revision>1</cp:revision>
  <dcterms:created xsi:type="dcterms:W3CDTF">2026-09-01T15:00:05.234Z</dcterms:created>
  <dcterms:modified xsi:type="dcterms:W3CDTF">2026-09-01T15:00:05.234Z</dcterms:modified>
</cp:coreProperties>
</file>

<file path=docProps/custom.xml><?xml version="1.0" encoding="utf-8"?>
<Properties xmlns="http://schemas.openxmlformats.org/officeDocument/2006/custom-properties" xmlns:vt="http://schemas.openxmlformats.org/officeDocument/2006/docPropsVTypes"/>
</file>