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center"/>
      </w:pPr>
      <w:r>
        <w:t xml:space="preserve">MÉMOIRE TECHNIQUE</w:t>
      </w:r>
    </w:p>
    <w:p>
      <w:pPr>
        <w:spacing w:after="160"/>
        <w:jc w:val="center"/>
      </w:pPr>
      <w:r>
        <w:rPr>
          <w:color w:val="888888"/>
          <w:sz w:val="28"/>
          <w:szCs w:val="28"/>
        </w:rPr>
        <w:t xml:space="preserve">Lot Démolition et désamiantage — [Nom de l'opération / du marché]</w:t>
      </w:r>
    </w:p>
    <w:p>
      <w:pPr>
        <w:spacing w:after="480"/>
        <w:jc w:val="center"/>
      </w:pPr>
      <w:r>
        <w:rPr>
          <w:color w:val="888888"/>
          <w:sz w:val="22"/>
          <w:szCs w:val="22"/>
        </w:rPr>
        <w:t xml:space="preserve">[Nom de votre entreprise] — [SIRET] — [Lot concerné]</w:t>
      </w:r>
    </w:p>
    <w:p>
      <w:pPr>
        <w:spacing w:after="160"/>
      </w:pPr>
      <w:r>
        <w:rPr>
          <w:i/>
          <w:iCs/>
          <w:color w:val="555555"/>
          <w:sz w:val="20"/>
          <w:szCs w:val="20"/>
        </w:rPr>
        <w:t xml:space="preserve">Modèle gratuit proposé par BatiRedac (batiredac.com/modele-memoire-technique/demolition-desamiantage). Remplacez chaque consigne par votre contenu et alignez les sections sur les critères du règlement de consultation. Supprimez cette ligne avant dépôt.</w:t>
      </w:r>
    </w:p>
    <w:p>
      <w:pPr>
        <w:pStyle w:val="Heading1"/>
        <w:spacing w:after="120" w:before="320"/>
      </w:pPr>
      <w:r>
        <w:t xml:space="preserve">1. Présentation de l'entreprise</w:t>
      </w:r>
    </w:p>
    <w:p>
      <w:pPr>
        <w:spacing w:after="160"/>
      </w:pPr>
      <w:r>
        <w:rPr>
          <w:i/>
          <w:iCs/>
          <w:color w:val="555555"/>
          <w:sz w:val="20"/>
          <w:szCs w:val="20"/>
        </w:rPr>
        <w:t xml:space="preserve">Identité, historique, effectifs, chiffre d'affaires, zone d'intervention.</w:t>
      </w:r>
    </w:p>
    <w:p>
      <w:pPr>
        <w:spacing w:after="320"/>
      </w:pPr>
      <w:r>
        <w:rPr>
          <w:color w:val="888888"/>
          <w:sz w:val="22"/>
          <w:szCs w:val="22"/>
        </w:rPr>
        <w:t xml:space="preserve">[À compléter avec les informations de votre entreprise]</w:t>
      </w:r>
    </w:p>
    <w:p>
      <w:pPr>
        <w:pStyle w:val="Heading1"/>
        <w:spacing w:after="120" w:before="320"/>
      </w:pPr>
      <w:r>
        <w:t xml:space="preserve">2. Qualifications et assurances</w:t>
      </w:r>
    </w:p>
    <w:p>
      <w:pPr>
        <w:spacing w:after="160"/>
      </w:pPr>
      <w:r>
        <w:rPr>
          <w:i/>
          <w:iCs/>
          <w:color w:val="555555"/>
          <w:sz w:val="20"/>
          <w:szCs w:val="20"/>
        </w:rPr>
        <w:t xml:space="preserve">Qualifications attendues sur ce type de lot (joindre les certificats en cours de validité) :</w:t>
      </w:r>
    </w:p>
    <w:p>
      <w:pPr>
        <w:pStyle w:val="ListParagraph"/>
        <w:numPr>
          <w:ilvl w:val="0"/>
          <w:numId w:val="1"/>
        </w:numPr>
        <w:spacing w:after="60"/>
      </w:pPr>
      <w:r>
        <w:t xml:space="preserve">Qualibat 1552 — Travaux de retrait ou de confinement de matériaux contenant de l'amiante</w:t>
      </w:r>
    </w:p>
    <w:p>
      <w:pPr>
        <w:pStyle w:val="ListParagraph"/>
        <w:numPr>
          <w:ilvl w:val="0"/>
          <w:numId w:val="1"/>
        </w:numPr>
        <w:spacing w:after="60"/>
      </w:pPr>
      <w:r>
        <w:t xml:space="preserve">Qualibat 1432 — Travaux de démolition — technicité confirmée</w:t>
      </w:r>
    </w:p>
    <w:p>
      <w:pPr>
        <w:pStyle w:val="ListParagraph"/>
        <w:numPr>
          <w:ilvl w:val="0"/>
          <w:numId w:val="1"/>
        </w:numPr>
        <w:spacing w:after="60"/>
      </w:pPr>
      <w:r>
        <w:t xml:space="preserve">Certification sous-section 3 — Formation obligatoire encadrant et opérateur (arrêté du 23 février 2012)</w:t>
      </w:r>
    </w:p>
    <w:p>
      <w:pPr>
        <w:pStyle w:val="ListParagraph"/>
        <w:numPr>
          <w:ilvl w:val="0"/>
          <w:numId w:val="1"/>
        </w:numPr>
        <w:spacing w:after="60"/>
      </w:pPr>
      <w:r>
        <w:t xml:space="preserve">Décennale — attestation d'assurance couvrant l'activité de désamiantage</w:t>
      </w:r>
    </w:p>
    <w:p>
      <w:pPr>
        <w:spacing w:after="320"/>
      </w:pPr>
      <w:r>
        <w:rPr>
          <w:color w:val="888888"/>
          <w:sz w:val="22"/>
          <w:szCs w:val="22"/>
        </w:rPr>
        <w:t xml:space="preserve">[Références de vos certificats et attestations d'assurance]</w:t>
      </w:r>
    </w:p>
    <w:p>
      <w:pPr>
        <w:pStyle w:val="Heading1"/>
        <w:spacing w:after="120" w:before="320"/>
      </w:pPr>
      <w:r>
        <w:t xml:space="preserve">3. Compréhension du projet et des enjeux</w:t>
      </w:r>
    </w:p>
    <w:p>
      <w:pPr>
        <w:spacing w:after="160"/>
      </w:pPr>
      <w:r>
        <w:rPr>
          <w:i/>
          <w:iCs/>
          <w:color w:val="555555"/>
          <w:sz w:val="20"/>
          <w:szCs w:val="20"/>
        </w:rPr>
        <w:t xml:space="preserve">Reformulez le contexte du marché et identifiez 3 à 5 enjeux issus du CCTP.</w:t>
      </w:r>
    </w:p>
    <w:p>
      <w:pPr>
        <w:spacing w:after="320"/>
      </w:pPr>
      <w:r>
        <w:rPr>
          <w:color w:val="888888"/>
          <w:sz w:val="22"/>
          <w:szCs w:val="22"/>
        </w:rPr>
        <w:t xml:space="preserve">[À compléter avec les informations de votre entreprise]</w:t>
      </w:r>
    </w:p>
    <w:p>
      <w:pPr>
        <w:pStyle w:val="Heading1"/>
        <w:spacing w:after="120" w:before="320"/>
      </w:pPr>
      <w:r>
        <w:t xml:space="preserve">4. Moyens humains affectés</w:t>
      </w:r>
    </w:p>
    <w:p>
      <w:pPr>
        <w:spacing w:after="160"/>
      </w:pPr>
      <w:r>
        <w:rPr>
          <w:i/>
          <w:iCs/>
          <w:color w:val="555555"/>
          <w:sz w:val="20"/>
          <w:szCs w:val="20"/>
        </w:rPr>
        <w:t xml:space="preserve">Effectif dédié, qualifications et rôle de chacun. Trame type pour ce métier :</w:t>
      </w:r>
    </w:p>
    <w:p>
      <w:pPr>
        <w:pStyle w:val="ListParagraph"/>
        <w:numPr>
          <w:ilvl w:val="0"/>
          <w:numId w:val="1"/>
        </w:numPr>
        <w:spacing w:after="60"/>
      </w:pPr>
      <w:r>
        <w:t xml:space="preserve">Conducteur de travaux (Encadrant technique sous-section 3, 10 ans d'expérience) — Plan de retrait, coordination, interface inspection du travail</w:t>
      </w:r>
    </w:p>
    <w:p>
      <w:pPr>
        <w:pStyle w:val="ListParagraph"/>
        <w:numPr>
          <w:ilvl w:val="0"/>
          <w:numId w:val="1"/>
        </w:numPr>
        <w:spacing w:after="60"/>
      </w:pPr>
      <w:r>
        <w:t xml:space="preserve">Encadrant de chantier (Encadrant chantier sous-section 3, SST) — Encadrement des équipes, contrôle du confinement</w:t>
      </w:r>
    </w:p>
    <w:p>
      <w:pPr>
        <w:pStyle w:val="ListParagraph"/>
        <w:numPr>
          <w:ilvl w:val="0"/>
          <w:numId w:val="1"/>
        </w:numPr>
        <w:spacing w:after="60"/>
      </w:pPr>
      <w:r>
        <w:t xml:space="preserve">Opérateurs de retrait (Opérateur sous-section 3, aptitude médicale amiante) — Retrait des matériaux amiantés, décontamination</w:t>
      </w:r>
    </w:p>
    <w:p>
      <w:pPr>
        <w:pStyle w:val="ListParagraph"/>
        <w:numPr>
          <w:ilvl w:val="0"/>
          <w:numId w:val="1"/>
        </w:numPr>
        <w:spacing w:after="60"/>
      </w:pPr>
      <w:r>
        <w:t xml:space="preserve">Compagnons démolition (N3, CACES engins de démolition) — Curage sélectif, déconstruction, tri des déchets</w:t>
      </w:r>
    </w:p>
    <w:p>
      <w:pPr>
        <w:spacing w:after="320"/>
      </w:pPr>
      <w:r>
        <w:rPr>
          <w:color w:val="888888"/>
          <w:sz w:val="22"/>
          <w:szCs w:val="22"/>
        </w:rPr>
        <w:t xml:space="preserve">[Nom, ancienneté et disponibilité de chaque intervenant]</w:t>
      </w:r>
    </w:p>
    <w:p>
      <w:pPr>
        <w:pStyle w:val="Heading1"/>
        <w:spacing w:after="120" w:before="320"/>
      </w:pPr>
      <w:r>
        <w:t xml:space="preserve">5. Moyens matériels dédiés</w:t>
      </w:r>
    </w:p>
    <w:p>
      <w:pPr>
        <w:spacing w:after="160"/>
      </w:pPr>
      <w:r>
        <w:rPr>
          <w:i/>
          <w:iCs/>
          <w:color w:val="555555"/>
          <w:sz w:val="20"/>
          <w:szCs w:val="20"/>
        </w:rPr>
        <w:t xml:space="preserve">Matériel affecté au chantier, en propre ou en location, et matériel de secours.</w:t>
      </w:r>
    </w:p>
    <w:p>
      <w:pPr>
        <w:spacing w:after="60" w:before="120"/>
      </w:pPr>
      <w:r>
        <w:rPr>
          <w:b/>
          <w:bCs/>
        </w:rPr>
        <w:t xml:space="preserve">Confinement et protection</w:t>
      </w:r>
    </w:p>
    <w:p>
      <w:pPr>
        <w:pStyle w:val="ListParagraph"/>
        <w:numPr>
          <w:ilvl w:val="0"/>
          <w:numId w:val="1"/>
        </w:numPr>
        <w:spacing w:after="60"/>
      </w:pPr>
      <w:r>
        <w:t xml:space="preserve">Unités de décontamination à 5 sas, extracteurs d'air à filtration absolue</w:t>
      </w:r>
    </w:p>
    <w:p>
      <w:pPr>
        <w:pStyle w:val="ListParagraph"/>
        <w:numPr>
          <w:ilvl w:val="0"/>
          <w:numId w:val="1"/>
        </w:numPr>
        <w:spacing w:after="60"/>
      </w:pPr>
      <w:r>
        <w:t xml:space="preserve">Bâches étanches, sas d'évacuation des déchets</w:t>
      </w:r>
    </w:p>
    <w:p>
      <w:pPr>
        <w:spacing w:after="60" w:before="120"/>
      </w:pPr>
      <w:r>
        <w:rPr>
          <w:b/>
          <w:bCs/>
        </w:rPr>
        <w:t xml:space="preserve">Retrait et mesure</w:t>
      </w:r>
    </w:p>
    <w:p>
      <w:pPr>
        <w:pStyle w:val="ListParagraph"/>
        <w:numPr>
          <w:ilvl w:val="0"/>
          <w:numId w:val="1"/>
        </w:numPr>
        <w:spacing w:after="60"/>
      </w:pPr>
      <w:r>
        <w:t xml:space="preserve">Outillage à faible vitesse muni de captage à la source</w:t>
      </w:r>
    </w:p>
    <w:p>
      <w:pPr>
        <w:pStyle w:val="ListParagraph"/>
        <w:numPr>
          <w:ilvl w:val="0"/>
          <w:numId w:val="1"/>
        </w:numPr>
        <w:spacing w:after="60"/>
      </w:pPr>
      <w:r>
        <w:t xml:space="preserve">Compteurs de particules et prélèvements META en continu</w:t>
      </w:r>
    </w:p>
    <w:p>
      <w:pPr>
        <w:spacing w:after="60" w:before="120"/>
      </w:pPr>
      <w:r>
        <w:rPr>
          <w:b/>
          <w:bCs/>
        </w:rPr>
        <w:t xml:space="preserve">Démolition et déconstruction</w:t>
      </w:r>
    </w:p>
    <w:p>
      <w:pPr>
        <w:pStyle w:val="ListParagraph"/>
        <w:numPr>
          <w:ilvl w:val="0"/>
          <w:numId w:val="1"/>
        </w:numPr>
        <w:spacing w:after="60"/>
      </w:pPr>
      <w:r>
        <w:t xml:space="preserve">Pelles équipées BRH, pinces de démolition et cisailles</w:t>
      </w:r>
    </w:p>
    <w:p>
      <w:pPr>
        <w:pStyle w:val="ListParagraph"/>
        <w:numPr>
          <w:ilvl w:val="0"/>
          <w:numId w:val="1"/>
        </w:numPr>
        <w:spacing w:after="60"/>
      </w:pPr>
      <w:r>
        <w:t xml:space="preserve">Bennes de tri sélectif et engins de manutention</w:t>
      </w:r>
    </w:p>
    <w:p>
      <w:pPr>
        <w:spacing w:after="320"/>
      </w:pPr>
      <w:r>
        <w:rPr>
          <w:color w:val="888888"/>
          <w:sz w:val="22"/>
          <w:szCs w:val="22"/>
        </w:rPr>
        <w:t xml:space="preserve">[Complétez avec vos matériels réellement mobilisés]</w:t>
      </w:r>
    </w:p>
    <w:p>
      <w:pPr>
        <w:pStyle w:val="Heading1"/>
        <w:spacing w:after="120" w:before="320"/>
      </w:pPr>
      <w:r>
        <w:t xml:space="preserve">6. Méthodologie d'exécution détaillée</w:t>
      </w:r>
    </w:p>
    <w:p>
      <w:pPr>
        <w:spacing w:after="160"/>
      </w:pPr>
      <w:r>
        <w:rPr>
          <w:i/>
          <w:iCs/>
          <w:color w:val="555555"/>
          <w:sz w:val="20"/>
          <w:szCs w:val="20"/>
        </w:rPr>
        <w:t xml:space="preserve">Section la plus notée : comment vous exécutez concrètement les travaux du CCTP.</w:t>
      </w:r>
    </w:p>
    <w:p>
      <w:pPr>
        <w:pStyle w:val="Heading2"/>
        <w:spacing w:after="80" w:before="200"/>
      </w:pPr>
      <w:r>
        <w:t xml:space="preserve">Diagnostic et étude préalable</w:t>
      </w:r>
    </w:p>
    <w:p>
      <w:pPr>
        <w:spacing w:after="160"/>
      </w:pPr>
      <w:r>
        <w:rPr>
          <w:i/>
          <w:iCs/>
          <w:color w:val="555555"/>
          <w:sz w:val="20"/>
          <w:szCs w:val="20"/>
        </w:rPr>
        <w:t xml:space="preserve">Exploitation du diagnostic amiante avant travaux (DAAT) et du diagnostic produits, équipements, matériaux, déchets (PEMD), repérage complémentaire si nécessaire, définition du mode opératoire (sous-section 3 ou 4) selon le type de matériaux et le niveau d'empoussièrement estimé.</w:t>
      </w:r>
    </w:p>
    <w:p>
      <w:pPr>
        <w:spacing w:after="320"/>
      </w:pPr>
      <w:r>
        <w:rPr>
          <w:color w:val="888888"/>
          <w:sz w:val="22"/>
          <w:szCs w:val="22"/>
        </w:rPr>
        <w:t xml:space="preserve">[Adaptez au chantier : quantités, cadences, points singuliers]</w:t>
      </w:r>
    </w:p>
    <w:p>
      <w:pPr>
        <w:pStyle w:val="Heading2"/>
        <w:spacing w:after="80" w:before="200"/>
      </w:pPr>
      <w:r>
        <w:t xml:space="preserve">Plan de retrait et dépôt réglementaire</w:t>
      </w:r>
    </w:p>
    <w:p>
      <w:pPr>
        <w:spacing w:after="160"/>
      </w:pPr>
      <w:r>
        <w:rPr>
          <w:i/>
          <w:iCs/>
          <w:color w:val="555555"/>
          <w:sz w:val="20"/>
          <w:szCs w:val="20"/>
        </w:rPr>
        <w:t xml:space="preserve">Rédaction du plan de retrait précisant le mode opératoire, les moyens de protection collective et individuelle, les modalités de gestion des déchets, transmis à l'inspection du travail, à la CARSAT et à l'OPPBTP dans le délai réglementaire d'un mois avant le démarrage des travaux.</w:t>
      </w:r>
    </w:p>
    <w:p>
      <w:pPr>
        <w:spacing w:after="320"/>
      </w:pPr>
      <w:r>
        <w:rPr>
          <w:color w:val="888888"/>
          <w:sz w:val="22"/>
          <w:szCs w:val="22"/>
        </w:rPr>
        <w:t xml:space="preserve">[Adaptez au chantier : quantités, cadences, points singuliers]</w:t>
      </w:r>
    </w:p>
    <w:p>
      <w:pPr>
        <w:pStyle w:val="Heading2"/>
        <w:spacing w:after="80" w:before="200"/>
      </w:pPr>
      <w:r>
        <w:t xml:space="preserve">Confinement, retrait et mesures d'empoussièrement</w:t>
      </w:r>
    </w:p>
    <w:p>
      <w:pPr>
        <w:spacing w:after="160"/>
      </w:pPr>
      <w:r>
        <w:rPr>
          <w:i/>
          <w:iCs/>
          <w:color w:val="555555"/>
          <w:sz w:val="20"/>
          <w:szCs w:val="20"/>
        </w:rPr>
        <w:t xml:space="preserve">Mise en place du confinement statique avec extraction d'air en dépression continue, retrait des matériaux amiantés à l'humide ou sous aspiration à la source, conditionnement en double emballage étanche étiqueté, mesures d'empoussièrement par la méthode META en cours et en fin de chantier avant restitution des locaux.</w:t>
      </w:r>
    </w:p>
    <w:p>
      <w:pPr>
        <w:spacing w:after="320"/>
      </w:pPr>
      <w:r>
        <w:rPr>
          <w:color w:val="888888"/>
          <w:sz w:val="22"/>
          <w:szCs w:val="22"/>
        </w:rPr>
        <w:t xml:space="preserve">[Adaptez au chantier : quantités, cadences, points singuliers]</w:t>
      </w:r>
    </w:p>
    <w:p>
      <w:pPr>
        <w:pStyle w:val="Heading2"/>
        <w:spacing w:after="80" w:before="200"/>
      </w:pPr>
      <w:r>
        <w:t xml:space="preserve">Curage, déconstruction et traçabilité des déchets</w:t>
      </w:r>
    </w:p>
    <w:p>
      <w:pPr>
        <w:spacing w:after="160"/>
      </w:pPr>
      <w:r>
        <w:rPr>
          <w:i/>
          <w:iCs/>
          <w:color w:val="555555"/>
          <w:sz w:val="20"/>
          <w:szCs w:val="20"/>
        </w:rPr>
        <w:t xml:space="preserve">Curage sélectif des éléments valorisables avant démolition, déconstruction par éléments ou démolition mécanisée selon la structure du bâtiment, tri des déchets par filière (inertes, non dangereux, dangereux amiantés) avec bordereaux de suivi de déchets amiante (BSDA) pour chaque évacuation.</w:t>
      </w:r>
    </w:p>
    <w:p>
      <w:pPr>
        <w:spacing w:after="320"/>
      </w:pPr>
      <w:r>
        <w:rPr>
          <w:color w:val="888888"/>
          <w:sz w:val="22"/>
          <w:szCs w:val="22"/>
        </w:rPr>
        <w:t xml:space="preserve">[Adaptez au chantier : quantités, cadences, points singuliers]</w:t>
      </w:r>
    </w:p>
    <w:p>
      <w:pPr>
        <w:pStyle w:val="Heading1"/>
        <w:spacing w:after="120" w:before="320"/>
      </w:pPr>
      <w:r>
        <w:t xml:space="preserve">7. Normes et textes de référence</w:t>
      </w:r>
    </w:p>
    <w:p>
      <w:pPr>
        <w:pStyle w:val="ListParagraph"/>
        <w:numPr>
          <w:ilvl w:val="0"/>
          <w:numId w:val="1"/>
        </w:numPr>
        <w:spacing w:after="60"/>
      </w:pPr>
      <w:r>
        <w:t xml:space="preserve">Code du travail, sous-section 3 — Travaux de retrait et d'encapsulage de l'amiante</w:t>
      </w:r>
    </w:p>
    <w:p>
      <w:pPr>
        <w:pStyle w:val="ListParagraph"/>
        <w:numPr>
          <w:ilvl w:val="0"/>
          <w:numId w:val="1"/>
        </w:numPr>
        <w:spacing w:after="60"/>
      </w:pPr>
      <w:r>
        <w:t xml:space="preserve">Code du travail, sous-section 4 — Interventions sur matériaux et appareils susceptibles de libérer des fibres d'amiante</w:t>
      </w:r>
    </w:p>
    <w:p>
      <w:pPr>
        <w:pStyle w:val="ListParagraph"/>
        <w:numPr>
          <w:ilvl w:val="0"/>
          <w:numId w:val="1"/>
        </w:numPr>
        <w:spacing w:after="60"/>
      </w:pPr>
      <w:r>
        <w:t xml:space="preserve">NF X 46-010 — Amiante — Compétences des personnes physiques et organismes réalisant des travaux</w:t>
      </w:r>
    </w:p>
    <w:p>
      <w:pPr>
        <w:pStyle w:val="ListParagraph"/>
        <w:numPr>
          <w:ilvl w:val="0"/>
          <w:numId w:val="1"/>
        </w:numPr>
        <w:spacing w:after="60"/>
      </w:pPr>
      <w:r>
        <w:t xml:space="preserve">Arrêté du 26 juin 2013 — Mesurage de l'empoussièrement dans l'air et stratégies META</w:t>
      </w:r>
    </w:p>
    <w:p>
      <w:pPr>
        <w:spacing w:after="320"/>
      </w:pPr>
      <w:r>
        <w:rPr>
          <w:color w:val="888888"/>
          <w:sz w:val="22"/>
          <w:szCs w:val="22"/>
        </w:rPr>
        <w:t xml:space="preserve">[Ajoutez les normes citées par le CCTP]</w:t>
      </w:r>
    </w:p>
    <w:p>
      <w:pPr>
        <w:pStyle w:val="Heading1"/>
        <w:spacing w:after="120" w:before="320"/>
      </w:pPr>
      <w:r>
        <w:t xml:space="preserve">8. Planning prévisionnel et gestion des délais</w:t>
      </w:r>
    </w:p>
    <w:p>
      <w:pPr>
        <w:spacing w:after="160"/>
      </w:pPr>
      <w:r>
        <w:rPr>
          <w:i/>
          <w:iCs/>
          <w:color w:val="555555"/>
          <w:sz w:val="20"/>
          <w:szCs w:val="20"/>
        </w:rPr>
        <w:t xml:space="preserve">Phasage, jalons contractuels, marges, gestion des aléas et des intempéries.</w:t>
      </w:r>
    </w:p>
    <w:p>
      <w:pPr>
        <w:spacing w:after="320"/>
      </w:pPr>
      <w:r>
        <w:rPr>
          <w:color w:val="888888"/>
          <w:sz w:val="22"/>
          <w:szCs w:val="22"/>
        </w:rPr>
        <w:t xml:space="preserve">[À compléter avec les informations de votre entreprise]</w:t>
      </w:r>
    </w:p>
    <w:p>
      <w:pPr>
        <w:pStyle w:val="Heading1"/>
        <w:spacing w:after="120" w:before="320"/>
      </w:pPr>
      <w:r>
        <w:t xml:space="preserve">9. Démarche qualité et contrôles</w:t>
      </w:r>
    </w:p>
    <w:p>
      <w:pPr>
        <w:spacing w:after="160"/>
      </w:pPr>
      <w:r>
        <w:rPr>
          <w:i/>
          <w:iCs/>
          <w:color w:val="555555"/>
          <w:sz w:val="20"/>
          <w:szCs w:val="20"/>
        </w:rPr>
        <w:t xml:space="preserve">Autocontrôles, points d'arrêt, traitement des non-conformités, documents de suivi.</w:t>
      </w:r>
    </w:p>
    <w:p>
      <w:pPr>
        <w:spacing w:after="320"/>
      </w:pPr>
      <w:r>
        <w:rPr>
          <w:color w:val="888888"/>
          <w:sz w:val="22"/>
          <w:szCs w:val="22"/>
        </w:rPr>
        <w:t xml:space="preserve">[À compléter avec les informations de votre entreprise]</w:t>
      </w:r>
    </w:p>
    <w:p>
      <w:pPr>
        <w:pStyle w:val="Heading1"/>
        <w:spacing w:after="120" w:before="320"/>
      </w:pPr>
      <w:r>
        <w:t xml:space="preserve">10. Hygiène, sécurité et prévention</w:t>
      </w:r>
    </w:p>
    <w:p>
      <w:pPr>
        <w:spacing w:after="160"/>
      </w:pPr>
      <w:r>
        <w:rPr>
          <w:i/>
          <w:iCs/>
          <w:color w:val="555555"/>
          <w:sz w:val="20"/>
          <w:szCs w:val="20"/>
        </w:rPr>
        <w:t xml:space="preserve">Analyse des risques du lot, mesures de prévention, accueil sécurité, coordination SPS.</w:t>
      </w:r>
    </w:p>
    <w:p>
      <w:pPr>
        <w:spacing w:after="320"/>
      </w:pPr>
      <w:r>
        <w:rPr>
          <w:color w:val="888888"/>
          <w:sz w:val="22"/>
          <w:szCs w:val="22"/>
        </w:rPr>
        <w:t xml:space="preserve">[À compléter avec les informations de votre entreprise]</w:t>
      </w:r>
    </w:p>
    <w:p>
      <w:pPr>
        <w:pStyle w:val="Heading1"/>
        <w:spacing w:after="120" w:before="320"/>
      </w:pPr>
      <w:r>
        <w:t xml:space="preserve">11. Démarche environnementale et gestion des déchets</w:t>
      </w:r>
    </w:p>
    <w:p>
      <w:pPr>
        <w:spacing w:after="160"/>
      </w:pPr>
      <w:r>
        <w:rPr>
          <w:i/>
          <w:iCs/>
          <w:color w:val="555555"/>
          <w:sz w:val="20"/>
          <w:szCs w:val="20"/>
        </w:rPr>
        <w:t xml:space="preserve">Tri à la source, filières de valorisation, traçabilité, réduction des nuisances.</w:t>
      </w:r>
    </w:p>
    <w:p>
      <w:pPr>
        <w:spacing w:after="320"/>
      </w:pPr>
      <w:r>
        <w:rPr>
          <w:color w:val="888888"/>
          <w:sz w:val="22"/>
          <w:szCs w:val="22"/>
        </w:rPr>
        <w:t xml:space="preserve">[À compléter avec les informations de votre entreprise]</w:t>
      </w:r>
    </w:p>
    <w:p>
      <w:pPr>
        <w:pStyle w:val="Heading1"/>
        <w:spacing w:after="120" w:before="320"/>
      </w:pPr>
      <w:r>
        <w:t xml:space="preserve">12. Références similaires</w:t>
      </w:r>
    </w:p>
    <w:p>
      <w:pPr>
        <w:spacing w:after="160"/>
      </w:pPr>
      <w:r>
        <w:rPr>
          <w:i/>
          <w:iCs/>
          <w:color w:val="555555"/>
          <w:sz w:val="20"/>
          <w:szCs w:val="20"/>
        </w:rPr>
        <w:t xml:space="preserve">3 à 5 références réelles et comparables : client, lieu, année, montant, nature.</w:t>
      </w:r>
    </w:p>
    <w:p>
      <w:pPr>
        <w:spacing w:after="320"/>
      </w:pPr>
      <w:r>
        <w:rPr>
          <w:color w:val="888888"/>
          <w:sz w:val="22"/>
          <w:szCs w:val="22"/>
        </w:rPr>
        <w:t xml:space="preserve">[N'indiquez que des références réellement exécutées]</w:t>
      </w:r>
    </w:p>
    <w:p>
      <w:pPr>
        <w:pStyle w:val="Heading1"/>
        <w:spacing w:after="120" w:before="320"/>
      </w:pPr>
      <w:r>
        <w:t xml:space="preserve">Annexe — points de vigilance propres au lot</w:t>
      </w:r>
    </w:p>
    <w:p>
      <w:pPr>
        <w:pStyle w:val="ListParagraph"/>
        <w:numPr>
          <w:ilvl w:val="0"/>
          <w:numId w:val="1"/>
        </w:numPr>
        <w:spacing w:after="60"/>
      </w:pPr>
      <w:r>
        <w:t xml:space="preserve">Vérifiez que le diagnostic PEMD figure au dossier de consultation et signalez toute incohérence avec l'état réel du bâtiment avant remise de l'offre.</w:t>
      </w:r>
    </w:p>
    <w:p>
      <w:pPr>
        <w:pStyle w:val="ListParagraph"/>
        <w:numPr>
          <w:ilvl w:val="0"/>
          <w:numId w:val="1"/>
        </w:numPr>
        <w:spacing w:after="60"/>
      </w:pPr>
      <w:r>
        <w:t xml:space="preserve">Précisez le délai de dépôt du plan de retrait (un mois) dans votre planning prévisionnel : un oubli fréquent qui décrédibilise le mémoire.</w:t>
      </w:r>
    </w:p>
    <w:p>
      <w:pPr>
        <w:pStyle w:val="ListParagraph"/>
        <w:numPr>
          <w:ilvl w:val="0"/>
          <w:numId w:val="1"/>
        </w:numPr>
        <w:spacing w:after="60"/>
      </w:pPr>
      <w:r>
        <w:t xml:space="preserve">Détaillez la stratégie de mesurage META (empoussièrement de niveau 1, 2 ou 3) et son incidence sur le choix des équipements de protection.</w:t>
      </w:r>
    </w:p>
    <w:p>
      <w:pPr>
        <w:pStyle w:val="ListParagraph"/>
        <w:numPr>
          <w:ilvl w:val="0"/>
          <w:numId w:val="1"/>
        </w:numPr>
        <w:spacing w:after="60"/>
      </w:pPr>
      <w:r>
        <w:t xml:space="preserve">Décrivez la gestion des déchets amiantés avec bordereau de suivi (BSDA) distinct des déchets de démolition classiques.</w:t>
      </w:r>
    </w:p>
    <w:p>
      <w:pPr>
        <w:pStyle w:val="ListParagraph"/>
        <w:numPr>
          <w:ilvl w:val="0"/>
          <w:numId w:val="1"/>
        </w:numPr>
        <w:spacing w:after="60"/>
      </w:pPr>
      <w:r>
        <w:t xml:space="preserve">En milieu occupé ou à proximité de tiers, précisez les mesures de protection de l'environnement du chantier (empoussièrement extérieur, information des riverains).</w:t>
      </w:r>
    </w:p>
    <w:p>
      <w:pPr>
        <w:pStyle w:val="Heading1"/>
        <w:spacing w:after="120" w:before="320"/>
      </w:pPr>
      <w:r>
        <w:t xml:space="preserve">Annexe — exemples de formulations</w:t>
      </w:r>
    </w:p>
    <w:p>
      <w:pPr>
        <w:spacing w:after="60" w:before="160"/>
      </w:pPr>
      <w:r>
        <w:rPr>
          <w:b/>
          <w:bCs/>
        </w:rPr>
        <w:t xml:space="preserve">Plan de retrait</w:t>
      </w:r>
    </w:p>
    <w:p>
      <w:pPr>
        <w:spacing w:after="160"/>
      </w:pPr>
      <w:r>
        <w:rPr>
          <w:i/>
          <w:iCs/>
          <w:color w:val="555555"/>
          <w:sz w:val="20"/>
          <w:szCs w:val="20"/>
        </w:rPr>
        <w:t xml:space="preserve">Un plan de retrait conforme aux exigences de la sous-section 3 du Code du travail sera établi et transmis à l'inspection du travail, à la CARSAT et à l'OPPBTP au moins un mois avant le démarrage des travaux, précisant le mode opératoire, les protections collectives et individuelles et la gestion des déchets amiantés.</w:t>
      </w:r>
    </w:p>
    <w:p>
      <w:pPr>
        <w:spacing w:after="60" w:before="160"/>
      </w:pPr>
      <w:r>
        <w:rPr>
          <w:b/>
          <w:bCs/>
        </w:rPr>
        <w:t xml:space="preserve">Confinement et mesures</w:t>
      </w:r>
    </w:p>
    <w:p>
      <w:pPr>
        <w:spacing w:after="160"/>
      </w:pPr>
      <w:r>
        <w:rPr>
          <w:i/>
          <w:iCs/>
          <w:color w:val="555555"/>
          <w:sz w:val="20"/>
          <w:szCs w:val="20"/>
        </w:rPr>
        <w:t xml:space="preserve">La zone de retrait sera confinée et maintenue en dépression continue par extracteurs équipés de filtres à très haute efficacité, avec mesures d'empoussièrement META réalisées en cours de chantier puis en fin de retrait avant restitution des locaux à la maîtrise d'ouvrage.</w:t>
      </w:r>
    </w:p>
    <w:p>
      <w:pPr>
        <w:spacing w:after="160"/>
      </w:pPr>
      <w:r>
        <w:rPr>
          <w:i/>
          <w:iCs/>
          <w:color w:val="555555"/>
          <w:sz w:val="20"/>
          <w:szCs w:val="20"/>
        </w:rPr>
        <w:t xml:space="preserve">Ces formulations sont des exemples à adapter : ne les déposez jamais telles quelles, un acheteur reconnaît immédiatement un texte générique.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de mémoire technique Démolition et désamiantage</dc:title>
  <dc:creator>BatiRedac</dc:creator>
  <dc:description>Trame de mémoire technique démolition et désamiantage : Qualibat 1552, sous-sections 3/4, plan de retrait, diagnostic PEMD, confinement. PDF gratuit.</dc:description>
  <cp:lastModifiedBy>Un-named</cp:lastModifiedBy>
  <cp:revision>1</cp:revision>
  <dcterms:created xsi:type="dcterms:W3CDTF">2026-09-01T15:00:05.197Z</dcterms:created>
  <dcterms:modified xsi:type="dcterms:W3CDTF">2026-09-01T15:00:05.197Z</dcterms:modified>
</cp:coreProperties>
</file>

<file path=docProps/custom.xml><?xml version="1.0" encoding="utf-8"?>
<Properties xmlns="http://schemas.openxmlformats.org/officeDocument/2006/custom-properties" xmlns:vt="http://schemas.openxmlformats.org/officeDocument/2006/docPropsVTypes"/>
</file>