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MÉMOIRE TECHNIQUE</w:t>
      </w:r>
    </w:p>
    <w:p>
      <w:pPr>
        <w:spacing w:after="160"/>
        <w:jc w:val="center"/>
      </w:pPr>
      <w:r>
        <w:rPr>
          <w:color w:val="888888"/>
          <w:sz w:val="28"/>
          <w:szCs w:val="28"/>
        </w:rPr>
        <w:t xml:space="preserve">Lot Architecte / Maîtrise d'œuvre — [Nom de l'opération / du marché]</w:t>
      </w:r>
    </w:p>
    <w:p>
      <w:pPr>
        <w:spacing w:after="480"/>
        <w:jc w:val="center"/>
      </w:pPr>
      <w:r>
        <w:rPr>
          <w:color w:val="888888"/>
          <w:sz w:val="22"/>
          <w:szCs w:val="22"/>
        </w:rPr>
        <w:t xml:space="preserve">[Nom de votre entreprise] — [SIRET] — [Lot concerné]</w:t>
      </w:r>
    </w:p>
    <w:p>
      <w:pPr>
        <w:spacing w:after="160"/>
      </w:pPr>
      <w:r>
        <w:rPr>
          <w:i/>
          <w:iCs/>
          <w:color w:val="555555"/>
          <w:sz w:val="20"/>
          <w:szCs w:val="20"/>
        </w:rPr>
        <w:t xml:space="preserve">Modèle gratuit proposé par BatiRedac (batiredac.com/modele-memoire-technique/architecte). Remplacez chaque consigne par votre contenu et alignez les sections sur les critères du règlement de consultation. Supprimez cette ligne avant dépôt.</w:t>
      </w:r>
    </w:p>
    <w:p>
      <w:pPr>
        <w:pStyle w:val="Heading1"/>
        <w:spacing w:after="120" w:before="320"/>
      </w:pPr>
      <w:r>
        <w:t xml:space="preserve">1. Présentation de l'entreprise</w:t>
      </w:r>
    </w:p>
    <w:p>
      <w:pPr>
        <w:spacing w:after="160"/>
      </w:pPr>
      <w:r>
        <w:rPr>
          <w:i/>
          <w:iCs/>
          <w:color w:val="555555"/>
          <w:sz w:val="20"/>
          <w:szCs w:val="20"/>
        </w:rPr>
        <w:t xml:space="preserve">Identité, historique, effectifs, chiffre d'affaires, zone d'intervention.</w:t>
      </w:r>
    </w:p>
    <w:p>
      <w:pPr>
        <w:spacing w:after="320"/>
      </w:pPr>
      <w:r>
        <w:rPr>
          <w:color w:val="888888"/>
          <w:sz w:val="22"/>
          <w:szCs w:val="22"/>
        </w:rPr>
        <w:t xml:space="preserve">[À compléter avec les informations de votre entreprise]</w:t>
      </w:r>
    </w:p>
    <w:p>
      <w:pPr>
        <w:pStyle w:val="Heading1"/>
        <w:spacing w:after="120" w:before="320"/>
      </w:pPr>
      <w:r>
        <w:t xml:space="preserve">2. Qualifications et assurances</w:t>
      </w:r>
    </w:p>
    <w:p>
      <w:pPr>
        <w:spacing w:after="160"/>
      </w:pPr>
      <w:r>
        <w:rPr>
          <w:i/>
          <w:iCs/>
          <w:color w:val="555555"/>
          <w:sz w:val="20"/>
          <w:szCs w:val="20"/>
        </w:rPr>
        <w:t xml:space="preserve">Qualifications attendues sur ce type de lot (joindre les certificats en cours de validité) :</w:t>
      </w:r>
    </w:p>
    <w:p>
      <w:pPr>
        <w:pStyle w:val="ListParagraph"/>
        <w:numPr>
          <w:ilvl w:val="0"/>
          <w:numId w:val="1"/>
        </w:numPr>
        <w:spacing w:after="60"/>
      </w:pPr>
      <w:r>
        <w:t xml:space="preserve">Inscription à l'Ordre — tableau régional de l'Ordre des architectes, obligatoire pour exercer</w:t>
      </w:r>
    </w:p>
    <w:p>
      <w:pPr>
        <w:pStyle w:val="ListParagraph"/>
        <w:numPr>
          <w:ilvl w:val="0"/>
          <w:numId w:val="1"/>
        </w:numPr>
        <w:spacing w:after="60"/>
      </w:pPr>
      <w:r>
        <w:t xml:space="preserve">HMONP — habilitation à la maîtrise d'œuvre en son nom propre (architectes diplômés d'État)</w:t>
      </w:r>
    </w:p>
    <w:p>
      <w:pPr>
        <w:pStyle w:val="ListParagraph"/>
        <w:numPr>
          <w:ilvl w:val="0"/>
          <w:numId w:val="1"/>
        </w:numPr>
        <w:spacing w:after="60"/>
      </w:pPr>
      <w:r>
        <w:t xml:space="preserve">Assurance MAF — attestation de responsabilité civile professionnelle et décennale à jour (MAF ou équivalent)</w:t>
      </w:r>
    </w:p>
    <w:p>
      <w:pPr>
        <w:pStyle w:val="ListParagraph"/>
        <w:numPr>
          <w:ilvl w:val="0"/>
          <w:numId w:val="1"/>
        </w:numPr>
        <w:spacing w:after="60"/>
      </w:pPr>
      <w:r>
        <w:t xml:space="preserve">OPQIBI / OPQTECC — qualifications des BET et économistes cotraitants, selon la composition du groupement</w:t>
      </w:r>
    </w:p>
    <w:p>
      <w:pPr>
        <w:spacing w:after="320"/>
      </w:pPr>
      <w:r>
        <w:rPr>
          <w:color w:val="888888"/>
          <w:sz w:val="22"/>
          <w:szCs w:val="22"/>
        </w:rPr>
        <w:t xml:space="preserve">[Références de vos certificats et attestations d'assurance]</w:t>
      </w:r>
    </w:p>
    <w:p>
      <w:pPr>
        <w:pStyle w:val="Heading1"/>
        <w:spacing w:after="120" w:before="320"/>
      </w:pPr>
      <w:r>
        <w:t xml:space="preserve">3. Compréhension du projet et des enjeux</w:t>
      </w:r>
    </w:p>
    <w:p>
      <w:pPr>
        <w:spacing w:after="160"/>
      </w:pPr>
      <w:r>
        <w:rPr>
          <w:i/>
          <w:iCs/>
          <w:color w:val="555555"/>
          <w:sz w:val="20"/>
          <w:szCs w:val="20"/>
        </w:rPr>
        <w:t xml:space="preserve">Reformulez le contexte du marché et identifiez 3 à 5 enjeux issus du CCTP.</w:t>
      </w:r>
    </w:p>
    <w:p>
      <w:pPr>
        <w:spacing w:after="320"/>
      </w:pPr>
      <w:r>
        <w:rPr>
          <w:color w:val="888888"/>
          <w:sz w:val="22"/>
          <w:szCs w:val="22"/>
        </w:rPr>
        <w:t xml:space="preserve">[À compléter avec les informations de votre entreprise]</w:t>
      </w:r>
    </w:p>
    <w:p>
      <w:pPr>
        <w:pStyle w:val="Heading1"/>
        <w:spacing w:after="120" w:before="320"/>
      </w:pPr>
      <w:r>
        <w:t xml:space="preserve">4. Moyens humains affectés</w:t>
      </w:r>
    </w:p>
    <w:p>
      <w:pPr>
        <w:spacing w:after="160"/>
      </w:pPr>
      <w:r>
        <w:rPr>
          <w:i/>
          <w:iCs/>
          <w:color w:val="555555"/>
          <w:sz w:val="20"/>
          <w:szCs w:val="20"/>
        </w:rPr>
        <w:t xml:space="preserve">Effectif dédié, qualifications et rôle de chacun. Trame type pour ce métier :</w:t>
      </w:r>
    </w:p>
    <w:p>
      <w:pPr>
        <w:pStyle w:val="ListParagraph"/>
        <w:numPr>
          <w:ilvl w:val="0"/>
          <w:numId w:val="1"/>
        </w:numPr>
        <w:spacing w:after="60"/>
      </w:pPr>
      <w:r>
        <w:t xml:space="preserve">Architecte mandataire (Architecte DE-HMONP, inscrit à l'Ordre) — Direction de projet, interface maître d'ouvrage, engagement de l'agence</w:t>
      </w:r>
    </w:p>
    <w:p>
      <w:pPr>
        <w:pStyle w:val="ListParagraph"/>
        <w:numPr>
          <w:ilvl w:val="0"/>
          <w:numId w:val="1"/>
        </w:numPr>
        <w:spacing w:after="60"/>
      </w:pPr>
      <w:r>
        <w:t xml:space="preserve">Chef de projet (Architecte DE, 5-10 ans d'expérience) — Conception, coordination du groupement, suivi du coût prévisionnel des travaux</w:t>
      </w:r>
    </w:p>
    <w:p>
      <w:pPr>
        <w:pStyle w:val="ListParagraph"/>
        <w:numPr>
          <w:ilvl w:val="0"/>
          <w:numId w:val="1"/>
        </w:numPr>
        <w:spacing w:after="60"/>
      </w:pPr>
      <w:r>
        <w:t xml:space="preserve">Projeteur / référent BIM (Maîtrise Revit ou Archicad, pratique des conventions BIM) — Maquette numérique, production graphique, synthèse</w:t>
      </w:r>
    </w:p>
    <w:p>
      <w:pPr>
        <w:pStyle w:val="ListParagraph"/>
        <w:numPr>
          <w:ilvl w:val="0"/>
          <w:numId w:val="1"/>
        </w:numPr>
        <w:spacing w:after="60"/>
      </w:pPr>
      <w:r>
        <w:t xml:space="preserve">Cotraitants (BET, économiste) (OPQIBI / OPQTECC selon les lots) — Dimensionnements techniques, estimations par phase, CCTP</w:t>
      </w:r>
    </w:p>
    <w:p>
      <w:pPr>
        <w:spacing w:after="320"/>
      </w:pPr>
      <w:r>
        <w:rPr>
          <w:color w:val="888888"/>
          <w:sz w:val="22"/>
          <w:szCs w:val="22"/>
        </w:rPr>
        <w:t xml:space="preserve">[Nom, ancienneté et disponibilité de chaque intervenant]</w:t>
      </w:r>
    </w:p>
    <w:p>
      <w:pPr>
        <w:pStyle w:val="Heading1"/>
        <w:spacing w:after="120" w:before="320"/>
      </w:pPr>
      <w:r>
        <w:t xml:space="preserve">5. Moyens matériels dédiés</w:t>
      </w:r>
    </w:p>
    <w:p>
      <w:pPr>
        <w:spacing w:after="160"/>
      </w:pPr>
      <w:r>
        <w:rPr>
          <w:i/>
          <w:iCs/>
          <w:color w:val="555555"/>
          <w:sz w:val="20"/>
          <w:szCs w:val="20"/>
        </w:rPr>
        <w:t xml:space="preserve">Matériel affecté au chantier, en propre ou en location, et matériel de secours.</w:t>
      </w:r>
    </w:p>
    <w:p>
      <w:pPr>
        <w:spacing w:after="60" w:before="120"/>
      </w:pPr>
      <w:r>
        <w:rPr>
          <w:b/>
          <w:bCs/>
        </w:rPr>
        <w:t xml:space="preserve">Conception et maquette numérique</w:t>
      </w:r>
    </w:p>
    <w:p>
      <w:pPr>
        <w:pStyle w:val="ListParagraph"/>
        <w:numPr>
          <w:ilvl w:val="0"/>
          <w:numId w:val="1"/>
        </w:numPr>
        <w:spacing w:after="60"/>
      </w:pPr>
      <w:r>
        <w:t xml:space="preserve">Stations CAO/BIM (Revit, Archicad) avec maquette partagée entre cotraitants</w:t>
      </w:r>
    </w:p>
    <w:p>
      <w:pPr>
        <w:pStyle w:val="ListParagraph"/>
        <w:numPr>
          <w:ilvl w:val="0"/>
          <w:numId w:val="1"/>
        </w:numPr>
        <w:spacing w:after="60"/>
      </w:pPr>
      <w:r>
        <w:t xml:space="preserve">Logiciels de rendu et d'insertion dans le site</w:t>
      </w:r>
    </w:p>
    <w:p>
      <w:pPr>
        <w:pStyle w:val="ListParagraph"/>
        <w:numPr>
          <w:ilvl w:val="0"/>
          <w:numId w:val="1"/>
        </w:numPr>
        <w:spacing w:after="60"/>
      </w:pPr>
      <w:r>
        <w:t xml:space="preserve">Plateforme collaborative d'échange de documents avec le maître d'ouvrage</w:t>
      </w:r>
    </w:p>
    <w:p>
      <w:pPr>
        <w:spacing w:after="60" w:before="120"/>
      </w:pPr>
      <w:r>
        <w:rPr>
          <w:b/>
          <w:bCs/>
        </w:rPr>
        <w:t xml:space="preserve">Économie et suivi de chantier</w:t>
      </w:r>
    </w:p>
    <w:p>
      <w:pPr>
        <w:pStyle w:val="ListParagraph"/>
        <w:numPr>
          <w:ilvl w:val="0"/>
          <w:numId w:val="1"/>
        </w:numPr>
        <w:spacing w:after="60"/>
      </w:pPr>
      <w:r>
        <w:t xml:space="preserve">Logiciel d'économie de la construction (estimations, DPGF, analyse des offres)</w:t>
      </w:r>
    </w:p>
    <w:p>
      <w:pPr>
        <w:pStyle w:val="ListParagraph"/>
        <w:numPr>
          <w:ilvl w:val="0"/>
          <w:numId w:val="1"/>
        </w:numPr>
        <w:spacing w:after="60"/>
      </w:pPr>
      <w:r>
        <w:t xml:space="preserve">Outils de planification et tableaux de bord financiers de l'opération</w:t>
      </w:r>
    </w:p>
    <w:p>
      <w:pPr>
        <w:pStyle w:val="ListParagraph"/>
        <w:numPr>
          <w:ilvl w:val="0"/>
          <w:numId w:val="1"/>
        </w:numPr>
        <w:spacing w:after="60"/>
      </w:pPr>
      <w:r>
        <w:t xml:space="preserve">Suivi des observations et des réserves sur tablette en réunion de chantier</w:t>
      </w:r>
    </w:p>
    <w:p>
      <w:pPr>
        <w:spacing w:after="60" w:before="120"/>
      </w:pPr>
      <w:r>
        <w:rPr>
          <w:b/>
          <w:bCs/>
        </w:rPr>
        <w:t xml:space="preserve">Connaissance de l'existant</w:t>
      </w:r>
    </w:p>
    <w:p>
      <w:pPr>
        <w:pStyle w:val="ListParagraph"/>
        <w:numPr>
          <w:ilvl w:val="0"/>
          <w:numId w:val="1"/>
        </w:numPr>
        <w:spacing w:after="60"/>
      </w:pPr>
      <w:r>
        <w:t xml:space="preserve">Relevés géomètre et diagnostics confiés à des prestataires spécialisés selon l'opération</w:t>
      </w:r>
    </w:p>
    <w:p>
      <w:pPr>
        <w:pStyle w:val="ListParagraph"/>
        <w:numPr>
          <w:ilvl w:val="0"/>
          <w:numId w:val="1"/>
        </w:numPr>
        <w:spacing w:after="60"/>
      </w:pPr>
      <w:r>
        <w:t xml:space="preserve">Reportages photographiques et analyses de site systématiques avant esquisse</w:t>
      </w:r>
    </w:p>
    <w:p>
      <w:pPr>
        <w:spacing w:after="320"/>
      </w:pPr>
      <w:r>
        <w:rPr>
          <w:color w:val="888888"/>
          <w:sz w:val="22"/>
          <w:szCs w:val="22"/>
        </w:rPr>
        <w:t xml:space="preserve">[Complétez avec vos matériels réellement mobilisés]</w:t>
      </w:r>
    </w:p>
    <w:p>
      <w:pPr>
        <w:pStyle w:val="Heading1"/>
        <w:spacing w:after="120" w:before="320"/>
      </w:pPr>
      <w:r>
        <w:t xml:space="preserve">6. Méthodologie d'exécution détaillée</w:t>
      </w:r>
    </w:p>
    <w:p>
      <w:pPr>
        <w:spacing w:after="160"/>
      </w:pPr>
      <w:r>
        <w:rPr>
          <w:i/>
          <w:iCs/>
          <w:color w:val="555555"/>
          <w:sz w:val="20"/>
          <w:szCs w:val="20"/>
        </w:rPr>
        <w:t xml:space="preserve">Section la plus notée : comment vous exécutez concrètement les travaux du CCTP.</w:t>
      </w:r>
    </w:p>
    <w:p>
      <w:pPr>
        <w:pStyle w:val="Heading2"/>
        <w:spacing w:after="80" w:before="200"/>
      </w:pPr>
      <w:r>
        <w:t xml:space="preserve">Appropriation du programme et esquisse (ESQ)</w:t>
      </w:r>
    </w:p>
    <w:p>
      <w:pPr>
        <w:spacing w:after="160"/>
      </w:pPr>
      <w:r>
        <w:rPr>
          <w:i/>
          <w:iCs/>
          <w:color w:val="555555"/>
          <w:sz w:val="20"/>
          <w:szCs w:val="20"/>
        </w:rPr>
        <w:t xml:space="preserve">Analyse du programme et visite du site, vérification du contexte réglementaire (PLU, accessibilité, sécurité incendie), premières intentions architecturales et vérification de la compatibilité avec l'enveloppe financière prévisionnelle du maître d'ouvrage.</w:t>
      </w:r>
    </w:p>
    <w:p>
      <w:pPr>
        <w:spacing w:after="320"/>
      </w:pPr>
      <w:r>
        <w:rPr>
          <w:color w:val="888888"/>
          <w:sz w:val="22"/>
          <w:szCs w:val="22"/>
        </w:rPr>
        <w:t xml:space="preserve">[Adaptez au chantier : quantités, cadences, points singuliers]</w:t>
      </w:r>
    </w:p>
    <w:p>
      <w:pPr>
        <w:pStyle w:val="Heading2"/>
        <w:spacing w:after="80" w:before="200"/>
      </w:pPr>
      <w:r>
        <w:t xml:space="preserve">Études d'avant-projet (APS/APD)</w:t>
      </w:r>
    </w:p>
    <w:p>
      <w:pPr>
        <w:spacing w:after="160"/>
      </w:pPr>
      <w:r>
        <w:rPr>
          <w:i/>
          <w:iCs/>
          <w:color w:val="555555"/>
          <w:sz w:val="20"/>
          <w:szCs w:val="20"/>
        </w:rPr>
        <w:t xml:space="preserve">Consolidation du parti architectural, choix constructifs et techniques avec les BET, notices descriptives, estimation du coût prévisionnel des travaux arrêtée en phase APD, constitution et dépôt du dossier de permis de construire.</w:t>
      </w:r>
    </w:p>
    <w:p>
      <w:pPr>
        <w:spacing w:after="320"/>
      </w:pPr>
      <w:r>
        <w:rPr>
          <w:color w:val="888888"/>
          <w:sz w:val="22"/>
          <w:szCs w:val="22"/>
        </w:rPr>
        <w:t xml:space="preserve">[Adaptez au chantier : quantités, cadences, points singuliers]</w:t>
      </w:r>
    </w:p>
    <w:p>
      <w:pPr>
        <w:pStyle w:val="Heading2"/>
        <w:spacing w:after="80" w:before="200"/>
      </w:pPr>
      <w:r>
        <w:t xml:space="preserve">Projet et consultation des entreprises (PRO/ACT)</w:t>
      </w:r>
    </w:p>
    <w:p>
      <w:pPr>
        <w:spacing w:after="160"/>
      </w:pPr>
      <w:r>
        <w:rPr>
          <w:i/>
          <w:iCs/>
          <w:color w:val="555555"/>
          <w:sz w:val="20"/>
          <w:szCs w:val="20"/>
        </w:rPr>
        <w:t xml:space="preserve">Études de projet et mise au point du DCE (plans, CCTP par lots, DPGF, planning prévisionnel), assistance à la passation des contrats de travaux : analyse des offres, rapport d'analyse, mise au point des marchés.</w:t>
      </w:r>
    </w:p>
    <w:p>
      <w:pPr>
        <w:spacing w:after="320"/>
      </w:pPr>
      <w:r>
        <w:rPr>
          <w:color w:val="888888"/>
          <w:sz w:val="22"/>
          <w:szCs w:val="22"/>
        </w:rPr>
        <w:t xml:space="preserve">[Adaptez au chantier : quantités, cadences, points singuliers]</w:t>
      </w:r>
    </w:p>
    <w:p>
      <w:pPr>
        <w:pStyle w:val="Heading2"/>
        <w:spacing w:after="80" w:before="200"/>
      </w:pPr>
      <w:r>
        <w:t xml:space="preserve">Chantier et réception (VISA/DET/AOR)</w:t>
      </w:r>
    </w:p>
    <w:p>
      <w:pPr>
        <w:spacing w:after="160"/>
      </w:pPr>
      <w:r>
        <w:rPr>
          <w:i/>
          <w:iCs/>
          <w:color w:val="555555"/>
          <w:sz w:val="20"/>
          <w:szCs w:val="20"/>
        </w:rPr>
        <w:t xml:space="preserve">Visa des études d'exécution des entreprises, direction de l'exécution des travaux : réunions de chantier hebdomadaires avec comptes rendus diffusés sous 48 h, vérification des situations mensuelles, gestion financière de l'opération, puis opérations préalables à la réception, suivi de la levée des réserves, contrôle du DOE et suivi de la garantie de parfait achèvement.</w:t>
      </w:r>
    </w:p>
    <w:p>
      <w:pPr>
        <w:spacing w:after="320"/>
      </w:pPr>
      <w:r>
        <w:rPr>
          <w:color w:val="888888"/>
          <w:sz w:val="22"/>
          <w:szCs w:val="22"/>
        </w:rPr>
        <w:t xml:space="preserve">[Adaptez au chantier : quantités, cadences, points singuliers]</w:t>
      </w:r>
    </w:p>
    <w:p>
      <w:pPr>
        <w:pStyle w:val="Heading1"/>
        <w:spacing w:after="120" w:before="320"/>
      </w:pPr>
      <w:r>
        <w:t xml:space="preserve">7. Normes et textes de référence</w:t>
      </w:r>
    </w:p>
    <w:p>
      <w:pPr>
        <w:pStyle w:val="ListParagraph"/>
        <w:numPr>
          <w:ilvl w:val="0"/>
          <w:numId w:val="1"/>
        </w:numPr>
        <w:spacing w:after="60"/>
      </w:pPr>
      <w:r>
        <w:t xml:space="preserve">CCP, art. R2431-1 et s. — Missions de maîtrise d'œuvre des marchés publics (ex-loi MOP)</w:t>
      </w:r>
    </w:p>
    <w:p>
      <w:pPr>
        <w:pStyle w:val="ListParagraph"/>
        <w:numPr>
          <w:ilvl w:val="0"/>
          <w:numId w:val="1"/>
        </w:numPr>
        <w:spacing w:after="60"/>
      </w:pPr>
      <w:r>
        <w:t xml:space="preserve">Loi n° 77-2 du 3/01/1977 — Loi sur l'architecture — recours obligatoire et Ordre des architectes</w:t>
      </w:r>
    </w:p>
    <w:p>
      <w:pPr>
        <w:pStyle w:val="ListParagraph"/>
        <w:numPr>
          <w:ilvl w:val="0"/>
          <w:numId w:val="1"/>
        </w:numPr>
        <w:spacing w:after="60"/>
      </w:pPr>
      <w:r>
        <w:t xml:space="preserve">RE2020 — Réglementation environnementale des bâtiments neufs</w:t>
      </w:r>
    </w:p>
    <w:p>
      <w:pPr>
        <w:pStyle w:val="ListParagraph"/>
        <w:numPr>
          <w:ilvl w:val="0"/>
          <w:numId w:val="1"/>
        </w:numPr>
        <w:spacing w:after="60"/>
      </w:pPr>
      <w:r>
        <w:t xml:space="preserve">Arrêté du 20/04/2017 — Accessibilité des ERP aux personnes handicapées</w:t>
      </w:r>
    </w:p>
    <w:p>
      <w:pPr>
        <w:spacing w:after="320"/>
      </w:pPr>
      <w:r>
        <w:rPr>
          <w:color w:val="888888"/>
          <w:sz w:val="22"/>
          <w:szCs w:val="22"/>
        </w:rPr>
        <w:t xml:space="preserve">[Ajoutez les normes citées par le CCTP]</w:t>
      </w:r>
    </w:p>
    <w:p>
      <w:pPr>
        <w:pStyle w:val="Heading1"/>
        <w:spacing w:after="120" w:before="320"/>
      </w:pPr>
      <w:r>
        <w:t xml:space="preserve">8. Planning prévisionnel et gestion des délais</w:t>
      </w:r>
    </w:p>
    <w:p>
      <w:pPr>
        <w:spacing w:after="160"/>
      </w:pPr>
      <w:r>
        <w:rPr>
          <w:i/>
          <w:iCs/>
          <w:color w:val="555555"/>
          <w:sz w:val="20"/>
          <w:szCs w:val="20"/>
        </w:rPr>
        <w:t xml:space="preserve">Phasage, jalons contractuels, marges, gestion des aléas et des intempéries.</w:t>
      </w:r>
    </w:p>
    <w:p>
      <w:pPr>
        <w:spacing w:after="320"/>
      </w:pPr>
      <w:r>
        <w:rPr>
          <w:color w:val="888888"/>
          <w:sz w:val="22"/>
          <w:szCs w:val="22"/>
        </w:rPr>
        <w:t xml:space="preserve">[À compléter avec les informations de votre entreprise]</w:t>
      </w:r>
    </w:p>
    <w:p>
      <w:pPr>
        <w:pStyle w:val="Heading1"/>
        <w:spacing w:after="120" w:before="320"/>
      </w:pPr>
      <w:r>
        <w:t xml:space="preserve">9. Démarche qualité et contrôles</w:t>
      </w:r>
    </w:p>
    <w:p>
      <w:pPr>
        <w:spacing w:after="160"/>
      </w:pPr>
      <w:r>
        <w:rPr>
          <w:i/>
          <w:iCs/>
          <w:color w:val="555555"/>
          <w:sz w:val="20"/>
          <w:szCs w:val="20"/>
        </w:rPr>
        <w:t xml:space="preserve">Autocontrôles, points d'arrêt, traitement des non-conformités, documents de suivi.</w:t>
      </w:r>
    </w:p>
    <w:p>
      <w:pPr>
        <w:spacing w:after="320"/>
      </w:pPr>
      <w:r>
        <w:rPr>
          <w:color w:val="888888"/>
          <w:sz w:val="22"/>
          <w:szCs w:val="22"/>
        </w:rPr>
        <w:t xml:space="preserve">[À compléter avec les informations de votre entreprise]</w:t>
      </w:r>
    </w:p>
    <w:p>
      <w:pPr>
        <w:pStyle w:val="Heading1"/>
        <w:spacing w:after="120" w:before="320"/>
      </w:pPr>
      <w:r>
        <w:t xml:space="preserve">10. Hygiène, sécurité et prévention</w:t>
      </w:r>
    </w:p>
    <w:p>
      <w:pPr>
        <w:spacing w:after="160"/>
      </w:pPr>
      <w:r>
        <w:rPr>
          <w:i/>
          <w:iCs/>
          <w:color w:val="555555"/>
          <w:sz w:val="20"/>
          <w:szCs w:val="20"/>
        </w:rPr>
        <w:t xml:space="preserve">Analyse des risques du lot, mesures de prévention, accueil sécurité, coordination SPS.</w:t>
      </w:r>
    </w:p>
    <w:p>
      <w:pPr>
        <w:spacing w:after="320"/>
      </w:pPr>
      <w:r>
        <w:rPr>
          <w:color w:val="888888"/>
          <w:sz w:val="22"/>
          <w:szCs w:val="22"/>
        </w:rPr>
        <w:t xml:space="preserve">[À compléter avec les informations de votre entreprise]</w:t>
      </w:r>
    </w:p>
    <w:p>
      <w:pPr>
        <w:pStyle w:val="Heading1"/>
        <w:spacing w:after="120" w:before="320"/>
      </w:pPr>
      <w:r>
        <w:t xml:space="preserve">11. Démarche environnementale et gestion des déchets</w:t>
      </w:r>
    </w:p>
    <w:p>
      <w:pPr>
        <w:spacing w:after="160"/>
      </w:pPr>
      <w:r>
        <w:rPr>
          <w:i/>
          <w:iCs/>
          <w:color w:val="555555"/>
          <w:sz w:val="20"/>
          <w:szCs w:val="20"/>
        </w:rPr>
        <w:t xml:space="preserve">Tri à la source, filières de valorisation, traçabilité, réduction des nuisances.</w:t>
      </w:r>
    </w:p>
    <w:p>
      <w:pPr>
        <w:spacing w:after="320"/>
      </w:pPr>
      <w:r>
        <w:rPr>
          <w:color w:val="888888"/>
          <w:sz w:val="22"/>
          <w:szCs w:val="22"/>
        </w:rPr>
        <w:t xml:space="preserve">[À compléter avec les informations de votre entreprise]</w:t>
      </w:r>
    </w:p>
    <w:p>
      <w:pPr>
        <w:pStyle w:val="Heading1"/>
        <w:spacing w:after="120" w:before="320"/>
      </w:pPr>
      <w:r>
        <w:t xml:space="preserve">12. Références similaires</w:t>
      </w:r>
    </w:p>
    <w:p>
      <w:pPr>
        <w:spacing w:after="160"/>
      </w:pPr>
      <w:r>
        <w:rPr>
          <w:i/>
          <w:iCs/>
          <w:color w:val="555555"/>
          <w:sz w:val="20"/>
          <w:szCs w:val="20"/>
        </w:rPr>
        <w:t xml:space="preserve">3 à 5 références réelles et comparables : client, lieu, année, montant, nature.</w:t>
      </w:r>
    </w:p>
    <w:p>
      <w:pPr>
        <w:spacing w:after="320"/>
      </w:pPr>
      <w:r>
        <w:rPr>
          <w:color w:val="888888"/>
          <w:sz w:val="22"/>
          <w:szCs w:val="22"/>
        </w:rPr>
        <w:t xml:space="preserve">[N'indiquez que des références réellement exécutées]</w:t>
      </w:r>
    </w:p>
    <w:p>
      <w:pPr>
        <w:pStyle w:val="Heading1"/>
        <w:spacing w:after="120" w:before="320"/>
      </w:pPr>
      <w:r>
        <w:t xml:space="preserve">Annexe — points de vigilance propres au lot</w:t>
      </w:r>
    </w:p>
    <w:p>
      <w:pPr>
        <w:pStyle w:val="ListParagraph"/>
        <w:numPr>
          <w:ilvl w:val="0"/>
          <w:numId w:val="1"/>
        </w:numPr>
        <w:spacing w:after="60"/>
      </w:pPr>
      <w:r>
        <w:t xml:space="preserve">La maîtrise du coût travaux est le point le plus scruté : expliquez votre méthode d'estimation à chaque phase et la manière dont vous traitez un écart avec l'enveloppe (optimisations proposées, arbitrages documentés).</w:t>
      </w:r>
    </w:p>
    <w:p>
      <w:pPr>
        <w:pStyle w:val="ListParagraph"/>
        <w:numPr>
          <w:ilvl w:val="0"/>
          <w:numId w:val="1"/>
        </w:numPr>
        <w:spacing w:after="60"/>
      </w:pPr>
      <w:r>
        <w:t xml:space="preserve">Présentez des références d'opérations réellement comparables (nature, montant de travaux, contenu de mission), idéalement avec attestations du maître d'ouvrage — trois références pertinentes valent mieux que dix hors sujet.</w:t>
      </w:r>
    </w:p>
    <w:p>
      <w:pPr>
        <w:pStyle w:val="ListParagraph"/>
        <w:numPr>
          <w:ilvl w:val="0"/>
          <w:numId w:val="1"/>
        </w:numPr>
        <w:spacing w:after="60"/>
      </w:pPr>
      <w:r>
        <w:t xml:space="preserve">Nommez l'équipe réellement affectée à l'opération avec CV et plan de charge : les acheteurs sanctionnent les organigrammes génériques dont les intervenants changent après notification.</w:t>
      </w:r>
    </w:p>
    <w:p>
      <w:pPr>
        <w:pStyle w:val="ListParagraph"/>
        <w:numPr>
          <w:ilvl w:val="0"/>
          <w:numId w:val="1"/>
        </w:numPr>
        <w:spacing w:after="60"/>
      </w:pPr>
      <w:r>
        <w:t xml:space="preserve">Sur le BIM, décrivez ce que l'agence pratique réellement (outils, usages, expérience des conventions BIM) sans survendre un niveau non maîtrisé : les exigences du règlement de consultation font foi.</w:t>
      </w:r>
    </w:p>
    <w:p>
      <w:pPr>
        <w:pStyle w:val="ListParagraph"/>
        <w:numPr>
          <w:ilvl w:val="0"/>
          <w:numId w:val="1"/>
        </w:numPr>
        <w:spacing w:after="60"/>
      </w:pPr>
      <w:r>
        <w:t xml:space="preserve">Ancrez la note dans l'opération : analyse du site, contraintes d'exploitation ou de site occupé, démarche de concertation avec les usagers — c'est la démonstration de compréhension des enjeux qui départage les candidats.</w:t>
      </w:r>
    </w:p>
    <w:p>
      <w:pPr>
        <w:pStyle w:val="Heading1"/>
        <w:spacing w:after="120" w:before="320"/>
      </w:pPr>
      <w:r>
        <w:t xml:space="preserve">Annexe — exemples de formulations</w:t>
      </w:r>
    </w:p>
    <w:p>
      <w:pPr>
        <w:spacing w:after="60" w:before="160"/>
      </w:pPr>
      <w:r>
        <w:rPr>
          <w:b/>
          <w:bCs/>
        </w:rPr>
        <w:t xml:space="preserve">Coût travaux</w:t>
      </w:r>
    </w:p>
    <w:p>
      <w:pPr>
        <w:spacing w:after="160"/>
      </w:pPr>
      <w:r>
        <w:rPr>
          <w:i/>
          <w:iCs/>
          <w:color w:val="555555"/>
          <w:sz w:val="20"/>
          <w:szCs w:val="20"/>
        </w:rPr>
        <w:t xml:space="preserve">À chaque phase de conception, l'estimation du coût prévisionnel des travaux sera actualisée par notre économiste et comparée à l'enveloppe financière affectée aux travaux par le maître d'ouvrage. Tout écart constaté fera l'objet d'une alerte immédiate, accompagnée de propositions d'optimisation chiffrées soumises à arbitrage avant poursuite des études.</w:t>
      </w:r>
    </w:p>
    <w:p>
      <w:pPr>
        <w:spacing w:after="60" w:before="160"/>
      </w:pPr>
      <w:r>
        <w:rPr>
          <w:b/>
          <w:bCs/>
        </w:rPr>
        <w:t xml:space="preserve">Direction de l'exécution</w:t>
      </w:r>
    </w:p>
    <w:p>
      <w:pPr>
        <w:spacing w:after="160"/>
      </w:pPr>
      <w:r>
        <w:rPr>
          <w:i/>
          <w:iCs/>
          <w:color w:val="555555"/>
          <w:sz w:val="20"/>
          <w:szCs w:val="20"/>
        </w:rPr>
        <w:t xml:space="preserve">Une réunion de chantier hebdomadaire sera animée par le chef de projet, avec compte rendu diffusé sous 48 heures à l'ensemble des intervenants. Les situations mensuelles des entreprises seront vérifiées dans les délais contractuels et un tableau de bord financier de l'opération sera tenu à jour et présenté au maître d'ouvrage à chaque réunion de suivi.</w:t>
      </w:r>
    </w:p>
    <w:p>
      <w:pPr>
        <w:spacing w:after="160"/>
      </w:pPr>
      <w:r>
        <w:rPr>
          <w:i/>
          <w:iCs/>
          <w:color w:val="555555"/>
          <w:sz w:val="20"/>
          <w:szCs w:val="20"/>
        </w:rPr>
        <w:t xml:space="preserve">Ces formulations sont des exemples à adapter : ne les déposez jamais telles quelles, un acheteur reconnaît immédiatement un texte générique.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mémoire technique Architecte / Maîtrise d'œuvre</dc:title>
  <dc:creator>BatiRedac</dc:creator>
  <dc:description>Trame de note méthodologique pour les marchés de maîtrise d'œuvre : phases de mission loi MOP, références d'opérations, moyens de l'agence, assurance MAF, gestion du coût travaux et BIM. PDF gratuit.</dc:description>
  <cp:lastModifiedBy>Un-named</cp:lastModifiedBy>
  <cp:revision>1</cp:revision>
  <dcterms:created xsi:type="dcterms:W3CDTF">2026-09-01T15:00:05.125Z</dcterms:created>
  <dcterms:modified xsi:type="dcterms:W3CDTF">2026-09-01T15:00:05.125Z</dcterms:modified>
</cp:coreProperties>
</file>

<file path=docProps/custom.xml><?xml version="1.0" encoding="utf-8"?>
<Properties xmlns="http://schemas.openxmlformats.org/officeDocument/2006/custom-properties" xmlns:vt="http://schemas.openxmlformats.org/officeDocument/2006/docPropsVTypes"/>
</file>